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val="0"/>
        <w:topLinePunct w:val="0"/>
        <w:bidi w:val="0"/>
        <w:spacing w:line="480" w:lineRule="auto"/>
        <w:ind w:firstLine="883"/>
        <w:jc w:val="center"/>
        <w:rPr>
          <w:rFonts w:ascii="宋体" w:hAnsi="宋体" w:eastAsia="宋体"/>
          <w:b/>
          <w:bCs/>
          <w:sz w:val="44"/>
          <w:szCs w:val="44"/>
        </w:rPr>
      </w:pPr>
    </w:p>
    <w:p>
      <w:pPr>
        <w:pageBreakBefore w:val="0"/>
        <w:kinsoku/>
        <w:wordWrap/>
        <w:overflowPunct w:val="0"/>
        <w:topLinePunct w:val="0"/>
        <w:bidi w:val="0"/>
        <w:spacing w:line="480" w:lineRule="auto"/>
        <w:ind w:firstLine="883"/>
        <w:jc w:val="center"/>
        <w:rPr>
          <w:rFonts w:ascii="宋体" w:hAnsi="宋体" w:eastAsia="宋体"/>
          <w:b/>
          <w:bCs/>
          <w:sz w:val="44"/>
          <w:szCs w:val="44"/>
        </w:rPr>
      </w:pPr>
    </w:p>
    <w:p>
      <w:pPr>
        <w:pageBreakBefore w:val="0"/>
        <w:kinsoku/>
        <w:wordWrap/>
        <w:overflowPunct w:val="0"/>
        <w:topLinePunct w:val="0"/>
        <w:bidi w:val="0"/>
        <w:spacing w:line="480" w:lineRule="auto"/>
        <w:ind w:firstLine="883"/>
        <w:jc w:val="center"/>
        <w:rPr>
          <w:rFonts w:ascii="宋体" w:hAnsi="宋体" w:eastAsia="宋体"/>
          <w:b/>
          <w:bCs/>
          <w:sz w:val="44"/>
          <w:szCs w:val="44"/>
        </w:rPr>
      </w:pPr>
    </w:p>
    <w:p>
      <w:pPr>
        <w:pageBreakBefore w:val="0"/>
        <w:kinsoku/>
        <w:wordWrap/>
        <w:overflowPunct w:val="0"/>
        <w:topLinePunct w:val="0"/>
        <w:bidi w:val="0"/>
        <w:spacing w:line="720" w:lineRule="auto"/>
        <w:ind w:firstLine="0" w:firstLineChars="0"/>
        <w:jc w:val="center"/>
        <w:rPr>
          <w:rFonts w:hint="eastAsia" w:ascii="宋体" w:hAnsi="宋体" w:eastAsia="宋体"/>
          <w:b/>
          <w:bCs/>
          <w:sz w:val="44"/>
          <w:szCs w:val="44"/>
          <w:lang w:eastAsia="zh-CN"/>
        </w:rPr>
      </w:pPr>
      <w:r>
        <w:rPr>
          <w:rFonts w:hint="eastAsia" w:ascii="宋体" w:hAnsi="宋体" w:eastAsia="宋体"/>
          <w:b/>
          <w:bCs/>
          <w:sz w:val="44"/>
          <w:szCs w:val="44"/>
          <w:lang w:eastAsia="zh-CN"/>
        </w:rPr>
        <w:t>202</w:t>
      </w:r>
      <w:r>
        <w:rPr>
          <w:rFonts w:hint="eastAsia" w:ascii="宋体" w:hAnsi="宋体" w:eastAsia="宋体"/>
          <w:b/>
          <w:bCs/>
          <w:sz w:val="44"/>
          <w:szCs w:val="44"/>
          <w:lang w:val="en-US" w:eastAsia="zh-CN"/>
        </w:rPr>
        <w:t>2</w:t>
      </w:r>
      <w:r>
        <w:rPr>
          <w:rFonts w:ascii="宋体" w:hAnsi="宋体" w:eastAsia="宋体"/>
          <w:b/>
          <w:bCs/>
          <w:sz w:val="44"/>
          <w:szCs w:val="44"/>
        </w:rPr>
        <w:t>年度</w:t>
      </w:r>
      <w:r>
        <w:rPr>
          <w:rFonts w:hint="eastAsia" w:ascii="宋体" w:hAnsi="宋体" w:eastAsia="宋体"/>
          <w:b/>
          <w:bCs/>
          <w:sz w:val="44"/>
          <w:szCs w:val="44"/>
          <w:lang w:val="en-US" w:eastAsia="zh-CN"/>
        </w:rPr>
        <w:t>秦安县</w:t>
      </w:r>
      <w:r>
        <w:rPr>
          <w:rFonts w:hint="eastAsia" w:ascii="宋体" w:hAnsi="宋体" w:eastAsia="宋体"/>
          <w:b/>
          <w:bCs/>
          <w:sz w:val="44"/>
          <w:szCs w:val="44"/>
          <w:lang w:eastAsia="zh-CN"/>
        </w:rPr>
        <w:t>人民法院</w:t>
      </w:r>
    </w:p>
    <w:p>
      <w:pPr>
        <w:pageBreakBefore w:val="0"/>
        <w:kinsoku/>
        <w:wordWrap/>
        <w:overflowPunct w:val="0"/>
        <w:topLinePunct w:val="0"/>
        <w:bidi w:val="0"/>
        <w:spacing w:line="720" w:lineRule="auto"/>
        <w:ind w:firstLine="0" w:firstLineChars="0"/>
        <w:jc w:val="center"/>
        <w:rPr>
          <w:rFonts w:ascii="宋体" w:hAnsi="宋体" w:eastAsia="宋体"/>
          <w:b/>
          <w:bCs/>
          <w:sz w:val="44"/>
          <w:szCs w:val="44"/>
        </w:rPr>
      </w:pPr>
      <w:r>
        <w:rPr>
          <w:rFonts w:hint="eastAsia" w:ascii="宋体" w:hAnsi="宋体" w:eastAsia="宋体"/>
          <w:b/>
          <w:bCs/>
          <w:sz w:val="44"/>
          <w:szCs w:val="44"/>
          <w:lang w:val="en-US" w:eastAsia="zh-CN"/>
        </w:rPr>
        <w:t>部门</w:t>
      </w:r>
      <w:r>
        <w:rPr>
          <w:rFonts w:ascii="宋体" w:hAnsi="宋体" w:eastAsia="宋体"/>
          <w:b/>
          <w:bCs/>
          <w:sz w:val="44"/>
          <w:szCs w:val="44"/>
        </w:rPr>
        <w:t>预算执行情况</w:t>
      </w:r>
      <w:r>
        <w:rPr>
          <w:rFonts w:hint="eastAsia" w:ascii="宋体" w:hAnsi="宋体" w:eastAsia="宋体"/>
          <w:b/>
          <w:bCs/>
          <w:sz w:val="44"/>
          <w:szCs w:val="44"/>
          <w:lang w:eastAsia="zh-CN"/>
        </w:rPr>
        <w:t>绩效</w:t>
      </w:r>
      <w:r>
        <w:rPr>
          <w:rFonts w:ascii="宋体" w:hAnsi="宋体" w:eastAsia="宋体"/>
          <w:b/>
          <w:bCs/>
          <w:sz w:val="44"/>
          <w:szCs w:val="44"/>
        </w:rPr>
        <w:t>自评报告</w:t>
      </w:r>
    </w:p>
    <w:p>
      <w:pPr>
        <w:pageBreakBefore w:val="0"/>
        <w:widowControl/>
        <w:kinsoku/>
        <w:wordWrap/>
        <w:overflowPunct w:val="0"/>
        <w:topLinePunct w:val="0"/>
        <w:bidi w:val="0"/>
        <w:spacing w:line="240" w:lineRule="auto"/>
        <w:ind w:firstLine="0" w:firstLineChars="0"/>
        <w:jc w:val="left"/>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ageBreakBefore w:val="0"/>
        <w:kinsoku/>
        <w:wordWrap/>
        <w:overflowPunct w:val="0"/>
        <w:topLinePunct w:val="0"/>
        <w:bidi w:val="0"/>
        <w:ind w:firstLine="883"/>
        <w:jc w:val="center"/>
        <w:rPr>
          <w:rFonts w:ascii="宋体" w:hAnsi="宋体" w:eastAsia="宋体"/>
          <w:b/>
          <w:bCs/>
          <w:sz w:val="44"/>
          <w:szCs w:val="44"/>
        </w:rPr>
      </w:pPr>
    </w:p>
    <w:p>
      <w:pPr>
        <w:pStyle w:val="2"/>
      </w:pPr>
    </w:p>
    <w:p>
      <w:pPr>
        <w:pageBreakBefore w:val="0"/>
        <w:kinsoku/>
        <w:wordWrap/>
        <w:overflowPunct w:val="0"/>
        <w:topLinePunct w:val="0"/>
        <w:bidi w:val="0"/>
        <w:ind w:firstLine="0" w:firstLineChars="0"/>
        <w:jc w:val="center"/>
        <w:rPr>
          <w:rFonts w:hint="eastAsia" w:ascii="宋体" w:hAnsi="宋体" w:eastAsia="宋体"/>
          <w:b/>
          <w:bCs/>
          <w:sz w:val="28"/>
          <w:szCs w:val="28"/>
          <w:lang w:eastAsia="zh-CN"/>
        </w:rPr>
      </w:pPr>
      <w:r>
        <w:rPr>
          <w:rFonts w:hint="eastAsia" w:ascii="宋体" w:hAnsi="宋体" w:eastAsia="宋体"/>
          <w:b/>
          <w:bCs/>
          <w:sz w:val="28"/>
          <w:szCs w:val="28"/>
          <w:lang w:val="en-US" w:eastAsia="zh-CN"/>
        </w:rPr>
        <w:t>秦安县</w:t>
      </w:r>
      <w:r>
        <w:rPr>
          <w:rFonts w:hint="eastAsia" w:ascii="宋体" w:hAnsi="宋体" w:eastAsia="宋体"/>
          <w:b/>
          <w:bCs/>
          <w:sz w:val="28"/>
          <w:szCs w:val="28"/>
          <w:lang w:eastAsia="zh-CN"/>
        </w:rPr>
        <w:t>人民法院</w:t>
      </w:r>
    </w:p>
    <w:p>
      <w:pPr>
        <w:pageBreakBefore w:val="0"/>
        <w:kinsoku/>
        <w:wordWrap/>
        <w:overflowPunct w:val="0"/>
        <w:topLinePunct w:val="0"/>
        <w:bidi w:val="0"/>
        <w:ind w:firstLine="0" w:firstLineChars="0"/>
        <w:jc w:val="center"/>
        <w:rPr>
          <w:rFonts w:ascii="宋体" w:hAnsi="宋体" w:eastAsia="宋体"/>
          <w:b/>
          <w:bCs/>
          <w:sz w:val="28"/>
          <w:szCs w:val="28"/>
        </w:rPr>
      </w:pPr>
      <w:r>
        <w:rPr>
          <w:rFonts w:hint="eastAsia" w:ascii="宋体" w:hAnsi="宋体" w:eastAsia="宋体"/>
          <w:b/>
          <w:bCs/>
          <w:sz w:val="28"/>
          <w:szCs w:val="28"/>
        </w:rPr>
        <w:t>202</w:t>
      </w:r>
      <w:r>
        <w:rPr>
          <w:rFonts w:hint="eastAsia" w:ascii="宋体" w:hAnsi="宋体" w:eastAsia="宋体"/>
          <w:b/>
          <w:bCs/>
          <w:sz w:val="28"/>
          <w:szCs w:val="28"/>
          <w:lang w:val="en-US" w:eastAsia="zh-CN"/>
        </w:rPr>
        <w:t>3</w:t>
      </w:r>
      <w:r>
        <w:rPr>
          <w:rFonts w:hint="eastAsia" w:ascii="宋体" w:hAnsi="宋体" w:eastAsia="宋体"/>
          <w:b/>
          <w:bCs/>
          <w:sz w:val="28"/>
          <w:szCs w:val="28"/>
        </w:rPr>
        <w:t>年</w:t>
      </w:r>
      <w:r>
        <w:rPr>
          <w:rFonts w:hint="eastAsia" w:ascii="宋体" w:hAnsi="宋体" w:eastAsia="宋体"/>
          <w:b/>
          <w:bCs/>
          <w:sz w:val="28"/>
          <w:szCs w:val="28"/>
          <w:lang w:val="en-US" w:eastAsia="zh-CN"/>
        </w:rPr>
        <w:t>2</w:t>
      </w:r>
      <w:r>
        <w:rPr>
          <w:rFonts w:hint="eastAsia" w:ascii="宋体" w:hAnsi="宋体" w:eastAsia="宋体"/>
          <w:b/>
          <w:bCs/>
          <w:sz w:val="28"/>
          <w:szCs w:val="28"/>
        </w:rPr>
        <w:t>月</w:t>
      </w:r>
      <w:r>
        <w:rPr>
          <w:rFonts w:hint="eastAsia" w:ascii="宋体" w:hAnsi="宋体" w:eastAsia="宋体"/>
          <w:b/>
          <w:bCs/>
          <w:sz w:val="28"/>
          <w:szCs w:val="28"/>
          <w:lang w:val="en-US" w:eastAsia="zh-CN"/>
        </w:rPr>
        <w:t>17</w:t>
      </w:r>
      <w:r>
        <w:rPr>
          <w:rFonts w:hint="eastAsia" w:ascii="宋体" w:hAnsi="宋体" w:eastAsia="宋体"/>
          <w:b/>
          <w:bCs/>
          <w:sz w:val="28"/>
          <w:szCs w:val="28"/>
        </w:rPr>
        <w:t>日</w:t>
      </w:r>
    </w:p>
    <w:p>
      <w:pPr>
        <w:pageBreakBefore w:val="0"/>
        <w:kinsoku/>
        <w:wordWrap/>
        <w:overflowPunct w:val="0"/>
        <w:topLinePunct w:val="0"/>
        <w:bidi w:val="0"/>
        <w:ind w:firstLine="560"/>
      </w:pPr>
    </w:p>
    <w:sdt>
      <w:sdtPr>
        <w:rPr>
          <w:rFonts w:ascii="仿宋_GB2312" w:hAnsi="仿宋_GB2312" w:eastAsia="宋体" w:cstheme="minorBidi"/>
          <w:b w:val="0"/>
          <w:color w:val="auto"/>
          <w:kern w:val="2"/>
          <w:sz w:val="36"/>
          <w:szCs w:val="22"/>
          <w:lang w:val="zh-CN"/>
        </w:rPr>
        <w:id w:val="-789518963"/>
        <w:docPartObj>
          <w:docPartGallery w:val="Table of Contents"/>
          <w:docPartUnique/>
        </w:docPartObj>
      </w:sdtPr>
      <w:sdtEndPr>
        <w:rPr>
          <w:rFonts w:ascii="仿宋_GB2312" w:hAnsi="仿宋_GB2312" w:eastAsia="仿宋_GB2312" w:cstheme="minorBidi"/>
          <w:b/>
          <w:bCs/>
          <w:color w:val="auto"/>
          <w:kern w:val="2"/>
          <w:sz w:val="24"/>
          <w:szCs w:val="21"/>
          <w:lang w:val="zh-CN"/>
        </w:rPr>
      </w:sdtEndPr>
      <w:sdtContent>
        <w:p>
          <w:pPr>
            <w:pStyle w:val="31"/>
            <w:pageBreakBefore w:val="0"/>
            <w:kinsoku/>
            <w:wordWrap/>
            <w:overflowPunct w:val="0"/>
            <w:topLinePunct w:val="0"/>
            <w:bidi w:val="0"/>
            <w:snapToGrid/>
            <w:spacing w:before="0" w:beforeAutospacing="0" w:after="0" w:afterAutospacing="0" w:line="560" w:lineRule="exact"/>
            <w:ind w:left="0" w:leftChars="0" w:right="0" w:rightChars="0" w:firstLine="0" w:firstLineChars="0"/>
            <w:jc w:val="center"/>
            <w:rPr>
              <w:rFonts w:ascii="黑体" w:hAnsi="黑体" w:eastAsia="宋体"/>
              <w:b w:val="0"/>
              <w:color w:val="auto"/>
              <w:sz w:val="36"/>
              <w:lang w:val="zh-CN"/>
            </w:rPr>
          </w:pPr>
          <w:r>
            <w:rPr>
              <w:rFonts w:ascii="黑体" w:hAnsi="黑体" w:eastAsia="宋体"/>
              <w:b w:val="0"/>
              <w:color w:val="auto"/>
              <w:sz w:val="36"/>
              <w:lang w:val="zh-CN"/>
            </w:rPr>
            <w:t>目</w:t>
          </w:r>
          <w:r>
            <w:rPr>
              <w:rFonts w:hint="eastAsia" w:ascii="黑体" w:hAnsi="黑体" w:eastAsia="宋体"/>
              <w:b w:val="0"/>
              <w:color w:val="auto"/>
              <w:sz w:val="36"/>
              <w:lang w:val="zh-CN"/>
            </w:rPr>
            <w:t xml:space="preserve"> </w:t>
          </w:r>
          <w:r>
            <w:rPr>
              <w:rFonts w:ascii="黑体" w:hAnsi="黑体" w:eastAsia="宋体"/>
              <w:b w:val="0"/>
              <w:color w:val="auto"/>
              <w:sz w:val="36"/>
              <w:lang w:val="zh-CN"/>
            </w:rPr>
            <w:t xml:space="preserve"> 录</w:t>
          </w:r>
        </w:p>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rFonts w:ascii="黑体" w:eastAsia="黑体"/>
              <w:b w:val="0"/>
              <w:sz w:val="24"/>
              <w:szCs w:val="21"/>
            </w:rPr>
            <w:fldChar w:fldCharType="begin"/>
          </w:r>
          <w:r>
            <w:rPr>
              <w:rFonts w:ascii="黑体" w:eastAsia="黑体"/>
              <w:b w:val="0"/>
              <w:sz w:val="24"/>
              <w:szCs w:val="21"/>
            </w:rPr>
            <w:instrText xml:space="preserve"> TOC \o "1-2" \h \z \u </w:instrText>
          </w:r>
          <w:r>
            <w:rPr>
              <w:rFonts w:ascii="黑体" w:eastAsia="黑体"/>
              <w:b w:val="0"/>
              <w:sz w:val="24"/>
              <w:szCs w:val="21"/>
            </w:rPr>
            <w:fldChar w:fldCharType="separate"/>
          </w:r>
          <w:r>
            <w:rPr>
              <w:rFonts w:ascii="黑体" w:eastAsia="黑体"/>
              <w:sz w:val="24"/>
              <w:szCs w:val="20"/>
            </w:rPr>
            <w:fldChar w:fldCharType="begin"/>
          </w:r>
          <w:r>
            <w:rPr>
              <w:rFonts w:ascii="黑体" w:eastAsia="黑体"/>
              <w:sz w:val="24"/>
              <w:szCs w:val="20"/>
            </w:rPr>
            <w:instrText xml:space="preserve"> HYPERLINK \l _Toc12201 </w:instrText>
          </w:r>
          <w:r>
            <w:rPr>
              <w:rFonts w:ascii="黑体" w:eastAsia="黑体"/>
              <w:sz w:val="24"/>
              <w:szCs w:val="20"/>
            </w:rPr>
            <w:fldChar w:fldCharType="separate"/>
          </w:r>
          <w:r>
            <w:rPr>
              <w:rFonts w:hint="eastAsia" w:ascii="Times New Roman" w:eastAsia="黑体"/>
              <w:sz w:val="24"/>
              <w:szCs w:val="21"/>
            </w:rPr>
            <w:t>一、基本情况</w:t>
          </w:r>
          <w:r>
            <w:rPr>
              <w:sz w:val="24"/>
              <w:szCs w:val="21"/>
            </w:rPr>
            <w:tab/>
          </w:r>
          <w:r>
            <w:rPr>
              <w:sz w:val="24"/>
              <w:szCs w:val="21"/>
            </w:rPr>
            <w:fldChar w:fldCharType="begin"/>
          </w:r>
          <w:r>
            <w:rPr>
              <w:sz w:val="24"/>
              <w:szCs w:val="21"/>
            </w:rPr>
            <w:instrText xml:space="preserve"> PAGEREF _Toc12201 \h </w:instrText>
          </w:r>
          <w:r>
            <w:rPr>
              <w:sz w:val="24"/>
              <w:szCs w:val="21"/>
            </w:rPr>
            <w:fldChar w:fldCharType="separate"/>
          </w:r>
          <w:r>
            <w:rPr>
              <w:sz w:val="24"/>
              <w:szCs w:val="21"/>
            </w:rPr>
            <w:t>1</w:t>
          </w:r>
          <w:r>
            <w:rPr>
              <w:sz w:val="24"/>
              <w:szCs w:val="21"/>
            </w:rPr>
            <w:fldChar w:fldCharType="end"/>
          </w:r>
          <w:r>
            <w:rPr>
              <w:rFonts w:ascii="黑体" w:eastAsia="黑体"/>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_Toc5187 </w:instrText>
          </w:r>
          <w:r>
            <w:rPr>
              <w:sz w:val="24"/>
              <w:szCs w:val="20"/>
            </w:rPr>
            <w:fldChar w:fldCharType="separate"/>
          </w:r>
          <w:r>
            <w:rPr>
              <w:rFonts w:hint="eastAsia" w:ascii="Arial" w:eastAsia="楷体"/>
              <w:sz w:val="24"/>
              <w:szCs w:val="21"/>
            </w:rPr>
            <w:t>（一）部门主要职能</w:t>
          </w:r>
          <w:r>
            <w:rPr>
              <w:sz w:val="24"/>
              <w:szCs w:val="21"/>
            </w:rPr>
            <w:tab/>
          </w:r>
          <w:r>
            <w:rPr>
              <w:sz w:val="24"/>
              <w:szCs w:val="21"/>
            </w:rPr>
            <w:fldChar w:fldCharType="begin"/>
          </w:r>
          <w:r>
            <w:rPr>
              <w:sz w:val="24"/>
              <w:szCs w:val="21"/>
            </w:rPr>
            <w:instrText xml:space="preserve"> PAGEREF _Toc5187 \h </w:instrText>
          </w:r>
          <w:r>
            <w:rPr>
              <w:sz w:val="24"/>
              <w:szCs w:val="21"/>
            </w:rPr>
            <w:fldChar w:fldCharType="separate"/>
          </w:r>
          <w:r>
            <w:rPr>
              <w:sz w:val="24"/>
              <w:szCs w:val="21"/>
            </w:rPr>
            <w:t>1</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_Toc8618 </w:instrText>
          </w:r>
          <w:r>
            <w:rPr>
              <w:sz w:val="24"/>
              <w:szCs w:val="20"/>
            </w:rPr>
            <w:fldChar w:fldCharType="separate"/>
          </w:r>
          <w:r>
            <w:rPr>
              <w:rFonts w:hint="eastAsia" w:ascii="Arial" w:hAnsi="Times New Roman" w:eastAsia="楷体"/>
              <w:sz w:val="24"/>
              <w:szCs w:val="28"/>
            </w:rPr>
            <w:t>（二）内设机构及</w:t>
          </w:r>
          <w:r>
            <w:rPr>
              <w:rFonts w:hint="eastAsia" w:ascii="Arial" w:eastAsia="楷体"/>
              <w:sz w:val="24"/>
              <w:szCs w:val="21"/>
            </w:rPr>
            <w:t>人员编制情况</w:t>
          </w:r>
          <w:r>
            <w:rPr>
              <w:sz w:val="24"/>
              <w:szCs w:val="21"/>
            </w:rPr>
            <w:tab/>
          </w:r>
          <w:r>
            <w:rPr>
              <w:sz w:val="24"/>
              <w:szCs w:val="21"/>
            </w:rPr>
            <w:fldChar w:fldCharType="begin"/>
          </w:r>
          <w:r>
            <w:rPr>
              <w:sz w:val="24"/>
              <w:szCs w:val="21"/>
            </w:rPr>
            <w:instrText xml:space="preserve"> PAGEREF _Toc8618 \h </w:instrText>
          </w:r>
          <w:r>
            <w:rPr>
              <w:sz w:val="24"/>
              <w:szCs w:val="21"/>
            </w:rPr>
            <w:fldChar w:fldCharType="separate"/>
          </w:r>
          <w:r>
            <w:rPr>
              <w:sz w:val="24"/>
              <w:szCs w:val="21"/>
            </w:rPr>
            <w:t>1</w:t>
          </w:r>
          <w:r>
            <w:rPr>
              <w:sz w:val="24"/>
              <w:szCs w:val="21"/>
            </w:rPr>
            <w:fldChar w:fldCharType="end"/>
          </w:r>
          <w:r>
            <w:rPr>
              <w:sz w:val="24"/>
              <w:szCs w:val="20"/>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_Toc3459 </w:instrText>
          </w:r>
          <w:r>
            <w:rPr>
              <w:sz w:val="24"/>
              <w:szCs w:val="20"/>
            </w:rPr>
            <w:fldChar w:fldCharType="separate"/>
          </w:r>
          <w:r>
            <w:rPr>
              <w:rFonts w:hint="eastAsia" w:ascii="Times New Roman" w:eastAsia="黑体"/>
              <w:sz w:val="24"/>
              <w:szCs w:val="21"/>
              <w:highlight w:val="none"/>
            </w:rPr>
            <w:t>二、绩效评价工作组织开展情况</w:t>
          </w:r>
          <w:r>
            <w:rPr>
              <w:sz w:val="24"/>
              <w:szCs w:val="21"/>
            </w:rPr>
            <w:tab/>
          </w:r>
          <w:r>
            <w:rPr>
              <w:sz w:val="24"/>
              <w:szCs w:val="21"/>
            </w:rPr>
            <w:fldChar w:fldCharType="begin"/>
          </w:r>
          <w:r>
            <w:rPr>
              <w:sz w:val="24"/>
              <w:szCs w:val="21"/>
            </w:rPr>
            <w:instrText xml:space="preserve"> PAGEREF _Toc3459 \h </w:instrText>
          </w:r>
          <w:r>
            <w:rPr>
              <w:sz w:val="24"/>
              <w:szCs w:val="21"/>
            </w:rPr>
            <w:fldChar w:fldCharType="separate"/>
          </w:r>
          <w:r>
            <w:rPr>
              <w:sz w:val="24"/>
              <w:szCs w:val="21"/>
            </w:rPr>
            <w:t>2</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_Toc31931 </w:instrText>
          </w:r>
          <w:r>
            <w:rPr>
              <w:sz w:val="24"/>
              <w:szCs w:val="20"/>
            </w:rPr>
            <w:fldChar w:fldCharType="separate"/>
          </w:r>
          <w:r>
            <w:rPr>
              <w:rFonts w:hint="eastAsia" w:ascii="Arial" w:eastAsia="楷体"/>
              <w:sz w:val="24"/>
              <w:szCs w:val="21"/>
              <w:highlight w:val="none"/>
              <w:lang w:eastAsia="zh-CN"/>
            </w:rPr>
            <w:t>（</w:t>
          </w:r>
          <w:r>
            <w:rPr>
              <w:rFonts w:hint="eastAsia" w:ascii="Arial" w:eastAsia="楷体"/>
              <w:sz w:val="24"/>
              <w:szCs w:val="21"/>
              <w:highlight w:val="none"/>
              <w:lang w:val="en-US" w:eastAsia="zh-CN"/>
            </w:rPr>
            <w:t>一</w:t>
          </w:r>
          <w:r>
            <w:rPr>
              <w:rFonts w:hint="eastAsia" w:ascii="Arial" w:eastAsia="楷体"/>
              <w:sz w:val="24"/>
              <w:szCs w:val="21"/>
              <w:highlight w:val="none"/>
              <w:lang w:eastAsia="zh-CN"/>
            </w:rPr>
            <w:t>）</w:t>
          </w:r>
          <w:r>
            <w:rPr>
              <w:rFonts w:hint="eastAsia" w:ascii="Arial" w:eastAsia="楷体"/>
              <w:sz w:val="24"/>
              <w:szCs w:val="21"/>
              <w:highlight w:val="none"/>
            </w:rPr>
            <w:t>自评工作组织管理情况</w:t>
          </w:r>
          <w:r>
            <w:rPr>
              <w:sz w:val="24"/>
              <w:szCs w:val="21"/>
            </w:rPr>
            <w:tab/>
          </w:r>
          <w:r>
            <w:rPr>
              <w:sz w:val="24"/>
              <w:szCs w:val="21"/>
            </w:rPr>
            <w:fldChar w:fldCharType="begin"/>
          </w:r>
          <w:r>
            <w:rPr>
              <w:sz w:val="24"/>
              <w:szCs w:val="21"/>
            </w:rPr>
            <w:instrText xml:space="preserve"> PAGEREF _Toc31931 \h </w:instrText>
          </w:r>
          <w:r>
            <w:rPr>
              <w:sz w:val="24"/>
              <w:szCs w:val="21"/>
            </w:rPr>
            <w:fldChar w:fldCharType="separate"/>
          </w:r>
          <w:r>
            <w:rPr>
              <w:sz w:val="24"/>
              <w:szCs w:val="21"/>
            </w:rPr>
            <w:t>2</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_Toc2553 </w:instrText>
          </w:r>
          <w:r>
            <w:rPr>
              <w:sz w:val="24"/>
              <w:szCs w:val="20"/>
            </w:rPr>
            <w:fldChar w:fldCharType="separate"/>
          </w:r>
          <w:r>
            <w:rPr>
              <w:rFonts w:hint="eastAsia" w:ascii="Arial" w:eastAsia="楷体"/>
              <w:sz w:val="24"/>
              <w:szCs w:val="21"/>
              <w:highlight w:val="none"/>
              <w:lang w:eastAsia="zh-CN"/>
            </w:rPr>
            <w:t>（</w:t>
          </w:r>
          <w:r>
            <w:rPr>
              <w:rFonts w:hint="eastAsia" w:ascii="Arial" w:eastAsia="楷体"/>
              <w:sz w:val="24"/>
              <w:szCs w:val="21"/>
              <w:highlight w:val="none"/>
              <w:lang w:val="en-US" w:eastAsia="zh-CN"/>
            </w:rPr>
            <w:t>二</w:t>
          </w:r>
          <w:r>
            <w:rPr>
              <w:rFonts w:hint="eastAsia" w:ascii="Arial" w:eastAsia="楷体"/>
              <w:sz w:val="24"/>
              <w:szCs w:val="21"/>
              <w:highlight w:val="none"/>
              <w:lang w:eastAsia="zh-CN"/>
            </w:rPr>
            <w:t>）</w:t>
          </w:r>
          <w:r>
            <w:rPr>
              <w:rFonts w:hint="eastAsia" w:ascii="Arial" w:eastAsia="楷体"/>
              <w:sz w:val="24"/>
              <w:szCs w:val="21"/>
              <w:highlight w:val="none"/>
            </w:rPr>
            <w:t>自评范围</w:t>
          </w:r>
          <w:r>
            <w:rPr>
              <w:sz w:val="24"/>
              <w:szCs w:val="21"/>
            </w:rPr>
            <w:tab/>
          </w:r>
          <w:r>
            <w:rPr>
              <w:sz w:val="24"/>
              <w:szCs w:val="21"/>
            </w:rPr>
            <w:fldChar w:fldCharType="begin"/>
          </w:r>
          <w:r>
            <w:rPr>
              <w:sz w:val="24"/>
              <w:szCs w:val="21"/>
            </w:rPr>
            <w:instrText xml:space="preserve"> PAGEREF _Toc2553 \h </w:instrText>
          </w:r>
          <w:r>
            <w:rPr>
              <w:sz w:val="24"/>
              <w:szCs w:val="21"/>
            </w:rPr>
            <w:fldChar w:fldCharType="separate"/>
          </w:r>
          <w:r>
            <w:rPr>
              <w:sz w:val="24"/>
              <w:szCs w:val="21"/>
            </w:rPr>
            <w:t>2</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_Toc14332 </w:instrText>
          </w:r>
          <w:r>
            <w:rPr>
              <w:sz w:val="24"/>
              <w:szCs w:val="20"/>
            </w:rPr>
            <w:fldChar w:fldCharType="separate"/>
          </w:r>
          <w:r>
            <w:rPr>
              <w:rFonts w:hint="eastAsia" w:ascii="Arial" w:eastAsia="楷体"/>
              <w:sz w:val="24"/>
              <w:szCs w:val="21"/>
              <w:highlight w:val="none"/>
              <w:lang w:eastAsia="zh-CN"/>
            </w:rPr>
            <w:t>（</w:t>
          </w:r>
          <w:r>
            <w:rPr>
              <w:rFonts w:hint="eastAsia" w:ascii="Arial" w:eastAsia="楷体"/>
              <w:sz w:val="24"/>
              <w:szCs w:val="21"/>
              <w:highlight w:val="none"/>
              <w:lang w:val="en-US" w:eastAsia="zh-CN"/>
            </w:rPr>
            <w:t>三</w:t>
          </w:r>
          <w:r>
            <w:rPr>
              <w:rFonts w:hint="eastAsia" w:ascii="Arial" w:eastAsia="楷体"/>
              <w:sz w:val="24"/>
              <w:szCs w:val="21"/>
              <w:highlight w:val="none"/>
              <w:lang w:eastAsia="zh-CN"/>
            </w:rPr>
            <w:t>）</w:t>
          </w:r>
          <w:r>
            <w:rPr>
              <w:rFonts w:hint="eastAsia" w:ascii="Arial" w:eastAsia="楷体"/>
              <w:sz w:val="24"/>
              <w:szCs w:val="21"/>
              <w:highlight w:val="none"/>
            </w:rPr>
            <w:t>自评工作程序</w:t>
          </w:r>
          <w:r>
            <w:rPr>
              <w:sz w:val="24"/>
              <w:szCs w:val="21"/>
            </w:rPr>
            <w:tab/>
          </w:r>
          <w:r>
            <w:rPr>
              <w:sz w:val="24"/>
              <w:szCs w:val="21"/>
            </w:rPr>
            <w:fldChar w:fldCharType="begin"/>
          </w:r>
          <w:r>
            <w:rPr>
              <w:sz w:val="24"/>
              <w:szCs w:val="21"/>
            </w:rPr>
            <w:instrText xml:space="preserve"> PAGEREF _Toc14332 \h </w:instrText>
          </w:r>
          <w:r>
            <w:rPr>
              <w:sz w:val="24"/>
              <w:szCs w:val="21"/>
            </w:rPr>
            <w:fldChar w:fldCharType="separate"/>
          </w:r>
          <w:r>
            <w:rPr>
              <w:sz w:val="24"/>
              <w:szCs w:val="21"/>
            </w:rPr>
            <w:t>3</w:t>
          </w:r>
          <w:r>
            <w:rPr>
              <w:sz w:val="24"/>
              <w:szCs w:val="21"/>
            </w:rPr>
            <w:fldChar w:fldCharType="end"/>
          </w:r>
          <w:r>
            <w:rPr>
              <w:sz w:val="24"/>
              <w:szCs w:val="20"/>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_Toc14705 </w:instrText>
          </w:r>
          <w:r>
            <w:rPr>
              <w:sz w:val="24"/>
              <w:szCs w:val="20"/>
            </w:rPr>
            <w:fldChar w:fldCharType="separate"/>
          </w:r>
          <w:r>
            <w:rPr>
              <w:rFonts w:hint="eastAsia" w:ascii="Times New Roman" w:eastAsia="黑体"/>
              <w:sz w:val="24"/>
              <w:szCs w:val="21"/>
            </w:rPr>
            <w:t>三、部门整体支出绩效自评情况分析</w:t>
          </w:r>
          <w:r>
            <w:rPr>
              <w:sz w:val="24"/>
              <w:szCs w:val="21"/>
            </w:rPr>
            <w:tab/>
          </w:r>
          <w:r>
            <w:rPr>
              <w:sz w:val="24"/>
              <w:szCs w:val="21"/>
            </w:rPr>
            <w:fldChar w:fldCharType="begin"/>
          </w:r>
          <w:r>
            <w:rPr>
              <w:sz w:val="24"/>
              <w:szCs w:val="21"/>
            </w:rPr>
            <w:instrText xml:space="preserve"> PAGEREF _Toc14705 \h </w:instrText>
          </w:r>
          <w:r>
            <w:rPr>
              <w:sz w:val="24"/>
              <w:szCs w:val="21"/>
            </w:rPr>
            <w:fldChar w:fldCharType="separate"/>
          </w:r>
          <w:r>
            <w:rPr>
              <w:sz w:val="24"/>
              <w:szCs w:val="21"/>
            </w:rPr>
            <w:t>4</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_Toc11401 </w:instrText>
          </w:r>
          <w:r>
            <w:rPr>
              <w:sz w:val="24"/>
              <w:szCs w:val="20"/>
            </w:rPr>
            <w:fldChar w:fldCharType="separate"/>
          </w:r>
          <w:r>
            <w:rPr>
              <w:rFonts w:hint="eastAsia" w:ascii="Arial" w:eastAsia="楷体"/>
              <w:sz w:val="24"/>
              <w:szCs w:val="21"/>
            </w:rPr>
            <w:t>（一）部门决算情况</w:t>
          </w:r>
          <w:r>
            <w:rPr>
              <w:sz w:val="24"/>
              <w:szCs w:val="21"/>
            </w:rPr>
            <w:tab/>
          </w:r>
          <w:r>
            <w:rPr>
              <w:sz w:val="24"/>
              <w:szCs w:val="21"/>
            </w:rPr>
            <w:fldChar w:fldCharType="begin"/>
          </w:r>
          <w:r>
            <w:rPr>
              <w:sz w:val="24"/>
              <w:szCs w:val="21"/>
            </w:rPr>
            <w:instrText xml:space="preserve"> PAGEREF _Toc11401 \h </w:instrText>
          </w:r>
          <w:r>
            <w:rPr>
              <w:sz w:val="24"/>
              <w:szCs w:val="21"/>
            </w:rPr>
            <w:fldChar w:fldCharType="separate"/>
          </w:r>
          <w:r>
            <w:rPr>
              <w:sz w:val="24"/>
              <w:szCs w:val="21"/>
            </w:rPr>
            <w:t>4</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_Toc24333 </w:instrText>
          </w:r>
          <w:r>
            <w:rPr>
              <w:sz w:val="24"/>
              <w:szCs w:val="20"/>
            </w:rPr>
            <w:fldChar w:fldCharType="separate"/>
          </w:r>
          <w:r>
            <w:rPr>
              <w:rFonts w:hint="eastAsia" w:ascii="Arial" w:eastAsia="楷体"/>
              <w:sz w:val="24"/>
              <w:szCs w:val="21"/>
            </w:rPr>
            <w:t>（二）总体绩效目标完成情况分析</w:t>
          </w:r>
          <w:r>
            <w:rPr>
              <w:sz w:val="24"/>
              <w:szCs w:val="21"/>
            </w:rPr>
            <w:tab/>
          </w:r>
          <w:r>
            <w:rPr>
              <w:sz w:val="24"/>
              <w:szCs w:val="21"/>
            </w:rPr>
            <w:fldChar w:fldCharType="begin"/>
          </w:r>
          <w:r>
            <w:rPr>
              <w:sz w:val="24"/>
              <w:szCs w:val="21"/>
            </w:rPr>
            <w:instrText xml:space="preserve"> PAGEREF _Toc24333 \h </w:instrText>
          </w:r>
          <w:r>
            <w:rPr>
              <w:sz w:val="24"/>
              <w:szCs w:val="21"/>
            </w:rPr>
            <w:fldChar w:fldCharType="separate"/>
          </w:r>
          <w:r>
            <w:rPr>
              <w:sz w:val="24"/>
              <w:szCs w:val="21"/>
            </w:rPr>
            <w:t>4</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_Toc3470 </w:instrText>
          </w:r>
          <w:r>
            <w:rPr>
              <w:sz w:val="24"/>
              <w:szCs w:val="20"/>
            </w:rPr>
            <w:fldChar w:fldCharType="separate"/>
          </w:r>
          <w:r>
            <w:rPr>
              <w:rFonts w:hint="eastAsia" w:ascii="Arial" w:eastAsia="楷体"/>
              <w:sz w:val="24"/>
              <w:szCs w:val="21"/>
            </w:rPr>
            <w:t>（三）各项指标完成情况分析</w:t>
          </w:r>
          <w:r>
            <w:rPr>
              <w:sz w:val="24"/>
              <w:szCs w:val="21"/>
            </w:rPr>
            <w:tab/>
          </w:r>
          <w:r>
            <w:rPr>
              <w:sz w:val="24"/>
              <w:szCs w:val="21"/>
            </w:rPr>
            <w:fldChar w:fldCharType="begin"/>
          </w:r>
          <w:r>
            <w:rPr>
              <w:sz w:val="24"/>
              <w:szCs w:val="21"/>
            </w:rPr>
            <w:instrText xml:space="preserve"> PAGEREF _Toc3470 \h </w:instrText>
          </w:r>
          <w:r>
            <w:rPr>
              <w:sz w:val="24"/>
              <w:szCs w:val="21"/>
            </w:rPr>
            <w:fldChar w:fldCharType="separate"/>
          </w:r>
          <w:r>
            <w:rPr>
              <w:sz w:val="24"/>
              <w:szCs w:val="21"/>
            </w:rPr>
            <w:t>5</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_Toc13202 </w:instrText>
          </w:r>
          <w:r>
            <w:rPr>
              <w:sz w:val="24"/>
              <w:szCs w:val="20"/>
            </w:rPr>
            <w:fldChar w:fldCharType="separate"/>
          </w:r>
          <w:r>
            <w:rPr>
              <w:rFonts w:hint="eastAsia" w:ascii="Arial" w:eastAsia="楷体"/>
              <w:sz w:val="24"/>
              <w:szCs w:val="21"/>
              <w:lang w:eastAsia="zh-CN"/>
            </w:rPr>
            <w:t>（</w:t>
          </w:r>
          <w:r>
            <w:rPr>
              <w:rFonts w:hint="eastAsia" w:ascii="Arial" w:eastAsia="楷体"/>
              <w:sz w:val="24"/>
              <w:szCs w:val="21"/>
              <w:lang w:val="en-US" w:eastAsia="zh-CN"/>
            </w:rPr>
            <w:t>四）</w:t>
          </w:r>
          <w:r>
            <w:rPr>
              <w:rFonts w:hint="eastAsia" w:ascii="Arial" w:eastAsia="楷体"/>
              <w:sz w:val="24"/>
              <w:szCs w:val="21"/>
            </w:rPr>
            <w:t>偏离绩效目标的原因及下一步改进措施</w:t>
          </w:r>
          <w:r>
            <w:rPr>
              <w:sz w:val="24"/>
              <w:szCs w:val="21"/>
            </w:rPr>
            <w:tab/>
          </w:r>
          <w:r>
            <w:rPr>
              <w:sz w:val="24"/>
              <w:szCs w:val="21"/>
            </w:rPr>
            <w:fldChar w:fldCharType="begin"/>
          </w:r>
          <w:r>
            <w:rPr>
              <w:sz w:val="24"/>
              <w:szCs w:val="21"/>
            </w:rPr>
            <w:instrText xml:space="preserve"> PAGEREF _Toc13202 \h </w:instrText>
          </w:r>
          <w:r>
            <w:rPr>
              <w:sz w:val="24"/>
              <w:szCs w:val="21"/>
            </w:rPr>
            <w:fldChar w:fldCharType="separate"/>
          </w:r>
          <w:r>
            <w:rPr>
              <w:sz w:val="24"/>
              <w:szCs w:val="21"/>
            </w:rPr>
            <w:t>10</w:t>
          </w:r>
          <w:r>
            <w:rPr>
              <w:sz w:val="24"/>
              <w:szCs w:val="21"/>
            </w:rPr>
            <w:fldChar w:fldCharType="end"/>
          </w:r>
          <w:r>
            <w:rPr>
              <w:sz w:val="24"/>
              <w:szCs w:val="20"/>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_Toc25052 </w:instrText>
          </w:r>
          <w:r>
            <w:rPr>
              <w:sz w:val="24"/>
              <w:szCs w:val="20"/>
            </w:rPr>
            <w:fldChar w:fldCharType="separate"/>
          </w:r>
          <w:r>
            <w:rPr>
              <w:rFonts w:hint="eastAsia" w:ascii="Times New Roman" w:eastAsia="黑体"/>
              <w:sz w:val="24"/>
              <w:szCs w:val="21"/>
            </w:rPr>
            <w:t>四、部门预算项目支出绩效自评情况分析</w:t>
          </w:r>
          <w:r>
            <w:rPr>
              <w:sz w:val="24"/>
              <w:szCs w:val="21"/>
            </w:rPr>
            <w:tab/>
          </w:r>
          <w:r>
            <w:rPr>
              <w:sz w:val="24"/>
              <w:szCs w:val="21"/>
            </w:rPr>
            <w:fldChar w:fldCharType="begin"/>
          </w:r>
          <w:r>
            <w:rPr>
              <w:sz w:val="24"/>
              <w:szCs w:val="21"/>
            </w:rPr>
            <w:instrText xml:space="preserve"> PAGEREF _Toc25052 \h </w:instrText>
          </w:r>
          <w:r>
            <w:rPr>
              <w:sz w:val="24"/>
              <w:szCs w:val="21"/>
            </w:rPr>
            <w:fldChar w:fldCharType="separate"/>
          </w:r>
          <w:r>
            <w:rPr>
              <w:sz w:val="24"/>
              <w:szCs w:val="21"/>
            </w:rPr>
            <w:t>10</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_Toc5930 </w:instrText>
          </w:r>
          <w:r>
            <w:rPr>
              <w:sz w:val="24"/>
              <w:szCs w:val="20"/>
            </w:rPr>
            <w:fldChar w:fldCharType="separate"/>
          </w:r>
          <w:r>
            <w:rPr>
              <w:rFonts w:hint="eastAsia" w:ascii="Arial" w:eastAsia="楷体"/>
              <w:sz w:val="24"/>
              <w:szCs w:val="21"/>
              <w:lang w:eastAsia="zh-CN"/>
            </w:rPr>
            <w:t>（一）</w:t>
          </w:r>
          <w:r>
            <w:rPr>
              <w:rFonts w:hint="eastAsia" w:ascii="Arial" w:eastAsia="楷体"/>
              <w:sz w:val="24"/>
              <w:szCs w:val="21"/>
            </w:rPr>
            <w:t>法庭运维费</w:t>
          </w:r>
          <w:r>
            <w:rPr>
              <w:rFonts w:hint="eastAsia" w:ascii="Arial" w:eastAsia="楷体"/>
              <w:sz w:val="24"/>
              <w:szCs w:val="21"/>
              <w:lang w:val="en-US" w:eastAsia="zh-CN"/>
            </w:rPr>
            <w:t>项目</w:t>
          </w:r>
          <w:r>
            <w:rPr>
              <w:sz w:val="24"/>
              <w:szCs w:val="21"/>
            </w:rPr>
            <w:tab/>
          </w:r>
          <w:r>
            <w:rPr>
              <w:sz w:val="24"/>
              <w:szCs w:val="21"/>
            </w:rPr>
            <w:fldChar w:fldCharType="begin"/>
          </w:r>
          <w:r>
            <w:rPr>
              <w:sz w:val="24"/>
              <w:szCs w:val="21"/>
            </w:rPr>
            <w:instrText xml:space="preserve"> PAGEREF _Toc5930 \h </w:instrText>
          </w:r>
          <w:r>
            <w:rPr>
              <w:sz w:val="24"/>
              <w:szCs w:val="21"/>
            </w:rPr>
            <w:fldChar w:fldCharType="separate"/>
          </w:r>
          <w:r>
            <w:rPr>
              <w:sz w:val="24"/>
              <w:szCs w:val="21"/>
            </w:rPr>
            <w:t>10</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_Toc4907 </w:instrText>
          </w:r>
          <w:r>
            <w:rPr>
              <w:sz w:val="24"/>
              <w:szCs w:val="20"/>
            </w:rPr>
            <w:fldChar w:fldCharType="separate"/>
          </w:r>
          <w:r>
            <w:rPr>
              <w:rFonts w:hint="eastAsia" w:ascii="Arial" w:eastAsia="楷体"/>
              <w:sz w:val="24"/>
              <w:szCs w:val="21"/>
            </w:rPr>
            <w:t>（二）业务费</w:t>
          </w:r>
          <w:r>
            <w:rPr>
              <w:sz w:val="24"/>
              <w:szCs w:val="21"/>
            </w:rPr>
            <w:tab/>
          </w:r>
          <w:r>
            <w:rPr>
              <w:sz w:val="24"/>
              <w:szCs w:val="21"/>
            </w:rPr>
            <w:fldChar w:fldCharType="begin"/>
          </w:r>
          <w:r>
            <w:rPr>
              <w:sz w:val="24"/>
              <w:szCs w:val="21"/>
            </w:rPr>
            <w:instrText xml:space="preserve"> PAGEREF _Toc4907 \h </w:instrText>
          </w:r>
          <w:r>
            <w:rPr>
              <w:sz w:val="24"/>
              <w:szCs w:val="21"/>
            </w:rPr>
            <w:fldChar w:fldCharType="separate"/>
          </w:r>
          <w:r>
            <w:rPr>
              <w:sz w:val="24"/>
              <w:szCs w:val="21"/>
            </w:rPr>
            <w:t>15</w:t>
          </w:r>
          <w:r>
            <w:rPr>
              <w:sz w:val="24"/>
              <w:szCs w:val="21"/>
            </w:rPr>
            <w:fldChar w:fldCharType="end"/>
          </w:r>
          <w:r>
            <w:rPr>
              <w:sz w:val="24"/>
              <w:szCs w:val="20"/>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_Toc30234 </w:instrText>
          </w:r>
          <w:r>
            <w:rPr>
              <w:sz w:val="24"/>
              <w:szCs w:val="20"/>
            </w:rPr>
            <w:fldChar w:fldCharType="separate"/>
          </w:r>
          <w:r>
            <w:rPr>
              <w:rFonts w:hint="eastAsia" w:ascii="Times New Roman" w:eastAsia="黑体"/>
              <w:sz w:val="24"/>
              <w:szCs w:val="21"/>
            </w:rPr>
            <w:t>五、部门管理的省对市县转移支付绩效自评情况分析</w:t>
          </w:r>
          <w:r>
            <w:rPr>
              <w:sz w:val="24"/>
              <w:szCs w:val="21"/>
            </w:rPr>
            <w:tab/>
          </w:r>
          <w:r>
            <w:rPr>
              <w:sz w:val="24"/>
              <w:szCs w:val="21"/>
            </w:rPr>
            <w:fldChar w:fldCharType="begin"/>
          </w:r>
          <w:r>
            <w:rPr>
              <w:sz w:val="24"/>
              <w:szCs w:val="21"/>
            </w:rPr>
            <w:instrText xml:space="preserve"> PAGEREF _Toc30234 \h </w:instrText>
          </w:r>
          <w:r>
            <w:rPr>
              <w:sz w:val="24"/>
              <w:szCs w:val="21"/>
            </w:rPr>
            <w:fldChar w:fldCharType="separate"/>
          </w:r>
          <w:r>
            <w:rPr>
              <w:sz w:val="24"/>
              <w:szCs w:val="21"/>
            </w:rPr>
            <w:t>20</w:t>
          </w:r>
          <w:r>
            <w:rPr>
              <w:sz w:val="24"/>
              <w:szCs w:val="21"/>
            </w:rPr>
            <w:fldChar w:fldCharType="end"/>
          </w:r>
          <w:r>
            <w:rPr>
              <w:sz w:val="24"/>
              <w:szCs w:val="20"/>
            </w:rPr>
            <w:fldChar w:fldCharType="end"/>
          </w:r>
        </w:p>
        <w:p>
          <w:pPr>
            <w:pStyle w:val="16"/>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_Toc2159 </w:instrText>
          </w:r>
          <w:r>
            <w:rPr>
              <w:sz w:val="24"/>
              <w:szCs w:val="20"/>
            </w:rPr>
            <w:fldChar w:fldCharType="separate"/>
          </w:r>
          <w:r>
            <w:rPr>
              <w:rFonts w:hint="eastAsia" w:ascii="Arial" w:eastAsia="楷体"/>
              <w:sz w:val="24"/>
              <w:szCs w:val="21"/>
            </w:rPr>
            <w:t>（一）中央政法转移支付资金</w:t>
          </w:r>
          <w:r>
            <w:rPr>
              <w:sz w:val="24"/>
              <w:szCs w:val="21"/>
            </w:rPr>
            <w:tab/>
          </w:r>
          <w:r>
            <w:rPr>
              <w:sz w:val="24"/>
              <w:szCs w:val="21"/>
            </w:rPr>
            <w:fldChar w:fldCharType="begin"/>
          </w:r>
          <w:r>
            <w:rPr>
              <w:sz w:val="24"/>
              <w:szCs w:val="21"/>
            </w:rPr>
            <w:instrText xml:space="preserve"> PAGEREF _Toc2159 \h </w:instrText>
          </w:r>
          <w:r>
            <w:rPr>
              <w:sz w:val="24"/>
              <w:szCs w:val="21"/>
            </w:rPr>
            <w:fldChar w:fldCharType="separate"/>
          </w:r>
          <w:r>
            <w:rPr>
              <w:sz w:val="24"/>
              <w:szCs w:val="21"/>
            </w:rPr>
            <w:t>20</w:t>
          </w:r>
          <w:r>
            <w:rPr>
              <w:sz w:val="24"/>
              <w:szCs w:val="21"/>
            </w:rPr>
            <w:fldChar w:fldCharType="end"/>
          </w:r>
          <w:r>
            <w:rPr>
              <w:sz w:val="24"/>
              <w:szCs w:val="20"/>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rPr>
              <w:sz w:val="24"/>
              <w:szCs w:val="21"/>
            </w:rPr>
          </w:pPr>
          <w:r>
            <w:rPr>
              <w:sz w:val="24"/>
              <w:szCs w:val="20"/>
            </w:rPr>
            <w:fldChar w:fldCharType="begin"/>
          </w:r>
          <w:r>
            <w:rPr>
              <w:sz w:val="24"/>
              <w:szCs w:val="20"/>
            </w:rPr>
            <w:instrText xml:space="preserve"> HYPERLINK \l _Toc8248 </w:instrText>
          </w:r>
          <w:r>
            <w:rPr>
              <w:sz w:val="24"/>
              <w:szCs w:val="20"/>
            </w:rPr>
            <w:fldChar w:fldCharType="separate"/>
          </w:r>
          <w:r>
            <w:rPr>
              <w:rFonts w:hint="eastAsia" w:ascii="Times New Roman" w:eastAsia="黑体"/>
              <w:sz w:val="24"/>
              <w:szCs w:val="21"/>
            </w:rPr>
            <w:t>六、绩效自评结果拟应用和公开情况</w:t>
          </w:r>
          <w:r>
            <w:rPr>
              <w:sz w:val="24"/>
              <w:szCs w:val="21"/>
            </w:rPr>
            <w:tab/>
          </w:r>
          <w:r>
            <w:rPr>
              <w:sz w:val="24"/>
              <w:szCs w:val="21"/>
            </w:rPr>
            <w:fldChar w:fldCharType="begin"/>
          </w:r>
          <w:r>
            <w:rPr>
              <w:sz w:val="24"/>
              <w:szCs w:val="21"/>
            </w:rPr>
            <w:instrText xml:space="preserve"> PAGEREF _Toc8248 \h </w:instrText>
          </w:r>
          <w:r>
            <w:rPr>
              <w:sz w:val="24"/>
              <w:szCs w:val="21"/>
            </w:rPr>
            <w:fldChar w:fldCharType="separate"/>
          </w:r>
          <w:r>
            <w:rPr>
              <w:sz w:val="24"/>
              <w:szCs w:val="21"/>
            </w:rPr>
            <w:t>26</w:t>
          </w:r>
          <w:r>
            <w:rPr>
              <w:sz w:val="24"/>
              <w:szCs w:val="21"/>
            </w:rPr>
            <w:fldChar w:fldCharType="end"/>
          </w:r>
          <w:r>
            <w:rPr>
              <w:sz w:val="24"/>
              <w:szCs w:val="20"/>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textAlignment w:val="auto"/>
          </w:pPr>
          <w:r>
            <w:rPr>
              <w:sz w:val="24"/>
              <w:szCs w:val="20"/>
            </w:rPr>
            <w:fldChar w:fldCharType="begin"/>
          </w:r>
          <w:r>
            <w:rPr>
              <w:sz w:val="24"/>
              <w:szCs w:val="20"/>
            </w:rPr>
            <w:instrText xml:space="preserve"> HYPERLINK \l _Toc11251 </w:instrText>
          </w:r>
          <w:r>
            <w:rPr>
              <w:sz w:val="24"/>
              <w:szCs w:val="20"/>
            </w:rPr>
            <w:fldChar w:fldCharType="separate"/>
          </w:r>
          <w:r>
            <w:rPr>
              <w:rFonts w:hint="eastAsia" w:ascii="Times New Roman" w:eastAsia="黑体"/>
              <w:sz w:val="24"/>
              <w:szCs w:val="21"/>
            </w:rPr>
            <w:t>七、其他需要说明的问题</w:t>
          </w:r>
          <w:r>
            <w:rPr>
              <w:sz w:val="24"/>
              <w:szCs w:val="21"/>
            </w:rPr>
            <w:tab/>
          </w:r>
          <w:r>
            <w:rPr>
              <w:sz w:val="24"/>
              <w:szCs w:val="21"/>
            </w:rPr>
            <w:fldChar w:fldCharType="begin"/>
          </w:r>
          <w:r>
            <w:rPr>
              <w:sz w:val="24"/>
              <w:szCs w:val="21"/>
            </w:rPr>
            <w:instrText xml:space="preserve"> PAGEREF _Toc11251 \h </w:instrText>
          </w:r>
          <w:r>
            <w:rPr>
              <w:sz w:val="24"/>
              <w:szCs w:val="21"/>
            </w:rPr>
            <w:fldChar w:fldCharType="separate"/>
          </w:r>
          <w:r>
            <w:rPr>
              <w:sz w:val="24"/>
              <w:szCs w:val="21"/>
            </w:rPr>
            <w:t>26</w:t>
          </w:r>
          <w:r>
            <w:rPr>
              <w:sz w:val="24"/>
              <w:szCs w:val="21"/>
            </w:rPr>
            <w:fldChar w:fldCharType="end"/>
          </w:r>
          <w:r>
            <w:rPr>
              <w:sz w:val="24"/>
              <w:szCs w:val="20"/>
            </w:rPr>
            <w:fldChar w:fldCharType="end"/>
          </w:r>
        </w:p>
        <w:p>
          <w:pPr>
            <w:pageBreakBefore w:val="0"/>
            <w:kinsoku/>
            <w:wordWrap/>
            <w:overflowPunct w:val="0"/>
            <w:topLinePunct w:val="0"/>
            <w:bidi w:val="0"/>
            <w:ind w:firstLine="0" w:firstLineChars="0"/>
            <w:rPr>
              <w:sz w:val="24"/>
              <w:szCs w:val="21"/>
            </w:rPr>
          </w:pPr>
          <w:r>
            <w:rPr>
              <w:szCs w:val="21"/>
            </w:rPr>
            <w:fldChar w:fldCharType="end"/>
          </w:r>
          <w:bookmarkStart w:id="0" w:name="_Toc4040"/>
          <w:bookmarkStart w:id="1" w:name="_Toc13158"/>
          <w:bookmarkStart w:id="2" w:name="_Toc22477"/>
          <w:bookmarkStart w:id="3" w:name="_Toc28671"/>
          <w:bookmarkStart w:id="4" w:name="_Toc18188"/>
        </w:p>
      </w:sdtContent>
    </w:sdt>
    <w:p>
      <w:pPr>
        <w:pageBreakBefore w:val="0"/>
        <w:widowControl/>
        <w:kinsoku/>
        <w:wordWrap/>
        <w:overflowPunct w:val="0"/>
        <w:topLinePunct w:val="0"/>
        <w:bidi w:val="0"/>
        <w:snapToGrid/>
        <w:spacing w:before="200" w:beforeAutospacing="0" w:after="200" w:afterAutospacing="0" w:line="560" w:lineRule="exact"/>
        <w:ind w:left="0" w:leftChars="0" w:right="0" w:rightChars="0" w:firstLine="0" w:firstLineChars="0"/>
        <w:jc w:val="center"/>
        <w:rPr>
          <w:rFonts w:hint="eastAsia" w:ascii="宋体" w:hAnsi="宋体" w:eastAsia="宋体" w:cs="Arial"/>
          <w:b/>
          <w:bCs/>
          <w:sz w:val="44"/>
          <w:szCs w:val="44"/>
          <w:highlight w:val="none"/>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pageBreakBefore w:val="0"/>
        <w:widowControl/>
        <w:kinsoku/>
        <w:wordWrap/>
        <w:overflowPunct w:val="0"/>
        <w:topLinePunct w:val="0"/>
        <w:bidi w:val="0"/>
        <w:snapToGrid/>
        <w:spacing w:before="200" w:beforeAutospacing="0" w:after="200" w:afterAutospacing="0" w:line="560" w:lineRule="exact"/>
        <w:ind w:left="0" w:leftChars="0" w:right="0" w:rightChars="0" w:firstLine="0" w:firstLineChars="0"/>
        <w:jc w:val="center"/>
        <w:rPr>
          <w:rFonts w:hint="eastAsia" w:ascii="宋体" w:hAnsi="宋体" w:eastAsia="宋体" w:cs="Arial"/>
          <w:b/>
          <w:bCs/>
          <w:sz w:val="40"/>
          <w:szCs w:val="40"/>
          <w:highlight w:val="none"/>
        </w:rPr>
      </w:pPr>
      <w:r>
        <w:rPr>
          <w:rFonts w:hint="eastAsia" w:ascii="宋体" w:hAnsi="宋体" w:eastAsia="宋体" w:cs="Arial"/>
          <w:b/>
          <w:bCs/>
          <w:sz w:val="40"/>
          <w:szCs w:val="40"/>
          <w:highlight w:val="none"/>
          <w:lang w:val="en-US" w:eastAsia="zh-CN"/>
        </w:rPr>
        <w:t>天水市秦安县人民法院</w:t>
      </w:r>
      <w:r>
        <w:rPr>
          <w:rFonts w:hint="eastAsia" w:ascii="宋体" w:hAnsi="宋体" w:eastAsia="宋体" w:cs="Arial"/>
          <w:b/>
          <w:bCs/>
          <w:sz w:val="40"/>
          <w:szCs w:val="40"/>
          <w:highlight w:val="none"/>
        </w:rPr>
        <w:t>202</w:t>
      </w:r>
      <w:r>
        <w:rPr>
          <w:rFonts w:hint="eastAsia" w:ascii="宋体" w:hAnsi="宋体" w:eastAsia="宋体" w:cs="Arial"/>
          <w:b/>
          <w:bCs/>
          <w:sz w:val="40"/>
          <w:szCs w:val="40"/>
          <w:highlight w:val="none"/>
          <w:lang w:val="en-US" w:eastAsia="zh-CN"/>
        </w:rPr>
        <w:t>2</w:t>
      </w:r>
      <w:r>
        <w:rPr>
          <w:rFonts w:hint="eastAsia" w:ascii="宋体" w:hAnsi="宋体" w:eastAsia="宋体" w:cs="Arial"/>
          <w:b/>
          <w:bCs/>
          <w:sz w:val="40"/>
          <w:szCs w:val="40"/>
          <w:highlight w:val="none"/>
        </w:rPr>
        <w:t>年度</w:t>
      </w:r>
    </w:p>
    <w:p>
      <w:pPr>
        <w:pageBreakBefore w:val="0"/>
        <w:widowControl/>
        <w:kinsoku/>
        <w:wordWrap/>
        <w:overflowPunct w:val="0"/>
        <w:topLinePunct w:val="0"/>
        <w:bidi w:val="0"/>
        <w:snapToGrid/>
        <w:spacing w:before="200" w:beforeAutospacing="0" w:after="200" w:afterAutospacing="0" w:line="560" w:lineRule="exact"/>
        <w:ind w:left="0" w:leftChars="0" w:right="0" w:rightChars="0" w:firstLine="0" w:firstLineChars="0"/>
        <w:jc w:val="center"/>
        <w:rPr>
          <w:rFonts w:hint="eastAsia" w:ascii="宋体" w:hAnsi="宋体" w:eastAsia="宋体" w:cs="Arial"/>
          <w:b/>
          <w:bCs/>
          <w:sz w:val="44"/>
          <w:szCs w:val="44"/>
          <w:highlight w:val="none"/>
        </w:rPr>
      </w:pPr>
      <w:r>
        <w:rPr>
          <w:rFonts w:hint="eastAsia" w:ascii="宋体" w:hAnsi="宋体" w:eastAsia="宋体" w:cs="Arial"/>
          <w:b/>
          <w:bCs/>
          <w:sz w:val="40"/>
          <w:szCs w:val="40"/>
          <w:highlight w:val="none"/>
          <w:lang w:val="en-US" w:eastAsia="zh-CN"/>
        </w:rPr>
        <w:t>部门</w:t>
      </w:r>
      <w:r>
        <w:rPr>
          <w:rFonts w:hint="eastAsia" w:ascii="宋体" w:hAnsi="宋体" w:eastAsia="宋体" w:cs="Arial"/>
          <w:b/>
          <w:bCs/>
          <w:sz w:val="40"/>
          <w:szCs w:val="40"/>
          <w:highlight w:val="none"/>
        </w:rPr>
        <w:t>预算执行情况自评报告</w:t>
      </w:r>
      <w:bookmarkEnd w:id="0"/>
      <w:bookmarkEnd w:id="1"/>
    </w:p>
    <w:p>
      <w:pPr>
        <w:pStyle w:val="3"/>
        <w:keepNext/>
        <w:keepLines/>
        <w:pageBreakBefore w:val="0"/>
        <w:widowControl w:val="0"/>
        <w:kinsoku/>
        <w:wordWrap/>
        <w:overflowPunct w:val="0"/>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0"/>
        <w:rPr>
          <w:rFonts w:ascii="Times New Roman" w:eastAsia="黑体"/>
          <w:b/>
          <w:sz w:val="32"/>
        </w:rPr>
      </w:pPr>
      <w:bookmarkStart w:id="5" w:name="_Toc12201"/>
      <w:r>
        <w:rPr>
          <w:rFonts w:hint="eastAsia" w:ascii="Times New Roman" w:eastAsia="黑体"/>
          <w:b/>
          <w:sz w:val="32"/>
        </w:rPr>
        <w:t>一、基本情况</w:t>
      </w:r>
      <w:bookmarkEnd w:id="2"/>
      <w:bookmarkEnd w:id="3"/>
      <w:bookmarkEnd w:id="4"/>
      <w:bookmarkEnd w:id="5"/>
    </w:p>
    <w:p>
      <w:pPr>
        <w:pStyle w:val="4"/>
        <w:keepNext/>
        <w:keepLines/>
        <w:pageBreakBefore w:val="0"/>
        <w:widowControl w:val="0"/>
        <w:kinsoku/>
        <w:wordWrap/>
        <w:overflowPunct w:val="0"/>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1"/>
        <w:rPr>
          <w:rFonts w:ascii="Arial" w:eastAsia="楷体"/>
          <w:b/>
          <w:sz w:val="32"/>
        </w:rPr>
      </w:pPr>
      <w:bookmarkStart w:id="6" w:name="_Toc18868"/>
      <w:bookmarkStart w:id="7" w:name="_Toc819"/>
      <w:bookmarkStart w:id="8" w:name="_Toc5187"/>
      <w:bookmarkStart w:id="9" w:name="_Toc24636"/>
      <w:r>
        <w:rPr>
          <w:rFonts w:hint="eastAsia" w:ascii="Arial" w:eastAsia="楷体"/>
          <w:b/>
          <w:sz w:val="32"/>
        </w:rPr>
        <w:t>（一）部门主要职能</w:t>
      </w:r>
      <w:bookmarkEnd w:id="6"/>
      <w:bookmarkEnd w:id="7"/>
      <w:bookmarkEnd w:id="8"/>
      <w:bookmarkEnd w:id="9"/>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lang w:val="en-US" w:eastAsia="zh-CN"/>
        </w:rPr>
      </w:pPr>
      <w:bookmarkStart w:id="10" w:name="_Toc13794"/>
      <w:bookmarkStart w:id="11" w:name="_Toc18193"/>
      <w:bookmarkStart w:id="12" w:name="_Toc4574"/>
      <w:r>
        <w:rPr>
          <w:rFonts w:hint="eastAsia" w:ascii="Times New Roman" w:hAnsi="宋体" w:eastAsia="仿宋_GB2312"/>
          <w:sz w:val="32"/>
          <w:szCs w:val="28"/>
          <w:lang w:val="en-US" w:eastAsia="zh-CN"/>
        </w:rPr>
        <w:t>秦安县人民法院是国家审判机关，依法独立行使审判权，对县人民代表大会及其常务委员会负责报告工作。其主要职责是：</w:t>
      </w:r>
    </w:p>
    <w:p>
      <w:pPr>
        <w:pageBreakBefore w:val="0"/>
        <w:kinsoku/>
        <w:wordWrap/>
        <w:overflowPunct w:val="0"/>
        <w:topLinePunct w:val="0"/>
        <w:bidi w:val="0"/>
        <w:snapToGrid/>
        <w:spacing w:beforeAutospacing="0" w:afterAutospacing="0" w:line="560" w:lineRule="exact"/>
        <w:ind w:left="0" w:leftChars="0" w:right="0" w:rightChars="0" w:firstLine="640" w:firstLineChars="200"/>
        <w:jc w:val="both"/>
        <w:outlineLvl w:val="9"/>
        <w:rPr>
          <w:rFonts w:hint="eastAsia" w:ascii="Times New Roman" w:hAnsi="宋体" w:eastAsia="仿宋_GB2312"/>
          <w:b w:val="0"/>
          <w:bCs/>
          <w:sz w:val="32"/>
          <w:szCs w:val="28"/>
          <w:lang w:val="en-US" w:eastAsia="zh-CN"/>
        </w:rPr>
      </w:pPr>
      <w:r>
        <w:rPr>
          <w:rFonts w:hint="eastAsia" w:ascii="Times New Roman" w:hAnsi="宋体" w:eastAsia="仿宋_GB2312"/>
          <w:b w:val="0"/>
          <w:bCs/>
          <w:sz w:val="32"/>
          <w:szCs w:val="28"/>
          <w:lang w:val="en-US" w:eastAsia="zh-CN"/>
        </w:rPr>
        <w:t>1.依法审判法律规定管辖和其认为应当由自己审判的刑事、民事、行政等第一审案件；</w:t>
      </w:r>
    </w:p>
    <w:p>
      <w:pPr>
        <w:pageBreakBefore w:val="0"/>
        <w:kinsoku/>
        <w:wordWrap/>
        <w:overflowPunct w:val="0"/>
        <w:topLinePunct w:val="0"/>
        <w:bidi w:val="0"/>
        <w:snapToGrid/>
        <w:spacing w:beforeAutospacing="0" w:afterAutospacing="0" w:line="560" w:lineRule="exact"/>
        <w:ind w:left="0" w:leftChars="0" w:right="0" w:rightChars="0" w:firstLine="640" w:firstLineChars="200"/>
        <w:jc w:val="both"/>
        <w:outlineLvl w:val="9"/>
        <w:rPr>
          <w:rFonts w:hint="eastAsia" w:ascii="Times New Roman" w:hAnsi="宋体" w:eastAsia="仿宋_GB2312"/>
          <w:b w:val="0"/>
          <w:bCs/>
          <w:sz w:val="32"/>
          <w:szCs w:val="28"/>
          <w:lang w:val="en-US" w:eastAsia="zh-CN"/>
        </w:rPr>
      </w:pPr>
      <w:r>
        <w:rPr>
          <w:rFonts w:hint="eastAsia" w:ascii="Times New Roman" w:hAnsi="宋体" w:eastAsia="仿宋_GB2312"/>
          <w:b w:val="0"/>
          <w:bCs/>
          <w:sz w:val="32"/>
          <w:szCs w:val="28"/>
          <w:lang w:val="en-US" w:eastAsia="zh-CN"/>
        </w:rPr>
        <w:t>2.依法审判由人民检察院按照审判监督程序提出的抗诉案件；</w:t>
      </w:r>
    </w:p>
    <w:p>
      <w:pPr>
        <w:pageBreakBefore w:val="0"/>
        <w:kinsoku/>
        <w:wordWrap/>
        <w:overflowPunct w:val="0"/>
        <w:topLinePunct w:val="0"/>
        <w:bidi w:val="0"/>
        <w:snapToGrid/>
        <w:spacing w:beforeAutospacing="0" w:afterAutospacing="0" w:line="560" w:lineRule="exact"/>
        <w:ind w:left="0" w:leftChars="0" w:right="0" w:rightChars="0" w:firstLine="640" w:firstLineChars="200"/>
        <w:jc w:val="both"/>
        <w:outlineLvl w:val="9"/>
        <w:rPr>
          <w:rFonts w:hint="eastAsia" w:ascii="Times New Roman" w:hAnsi="宋体" w:eastAsia="仿宋_GB2312"/>
          <w:b w:val="0"/>
          <w:bCs/>
          <w:sz w:val="32"/>
          <w:szCs w:val="28"/>
          <w:lang w:val="en-US" w:eastAsia="zh-CN"/>
        </w:rPr>
      </w:pPr>
      <w:r>
        <w:rPr>
          <w:rFonts w:hint="eastAsia" w:ascii="Times New Roman" w:hAnsi="宋体" w:eastAsia="仿宋_GB2312"/>
          <w:b w:val="0"/>
          <w:bCs/>
          <w:sz w:val="32"/>
          <w:szCs w:val="28"/>
          <w:lang w:val="en-US" w:eastAsia="zh-CN"/>
        </w:rPr>
        <w:t>3.依法对中级人民法院指定管辖的案件进行审理。</w:t>
      </w:r>
    </w:p>
    <w:p>
      <w:pPr>
        <w:pageBreakBefore w:val="0"/>
        <w:kinsoku/>
        <w:wordWrap/>
        <w:overflowPunct w:val="0"/>
        <w:topLinePunct w:val="0"/>
        <w:bidi w:val="0"/>
        <w:snapToGrid/>
        <w:spacing w:beforeAutospacing="0" w:afterAutospacing="0" w:line="560" w:lineRule="exact"/>
        <w:ind w:left="0" w:leftChars="0" w:right="0" w:rightChars="0" w:firstLine="640" w:firstLineChars="200"/>
        <w:jc w:val="both"/>
        <w:outlineLvl w:val="9"/>
        <w:rPr>
          <w:rFonts w:hint="eastAsia" w:ascii="Times New Roman" w:hAnsi="宋体" w:eastAsia="仿宋_GB2312"/>
          <w:b w:val="0"/>
          <w:bCs/>
          <w:sz w:val="32"/>
          <w:szCs w:val="28"/>
          <w:lang w:val="en-US" w:eastAsia="zh-CN"/>
        </w:rPr>
      </w:pPr>
      <w:r>
        <w:rPr>
          <w:rFonts w:hint="eastAsia" w:ascii="Times New Roman" w:hAnsi="宋体" w:eastAsia="仿宋_GB2312"/>
          <w:b w:val="0"/>
          <w:bCs/>
          <w:sz w:val="32"/>
          <w:szCs w:val="28"/>
          <w:lang w:val="en-US" w:eastAsia="zh-CN"/>
        </w:rPr>
        <w:t>4.参与社会治安综合治理，在审判工作中宣传法制，教育公民遵守宪法、法律；</w:t>
      </w:r>
    </w:p>
    <w:p>
      <w:pPr>
        <w:pageBreakBefore w:val="0"/>
        <w:kinsoku/>
        <w:wordWrap/>
        <w:overflowPunct w:val="0"/>
        <w:topLinePunct w:val="0"/>
        <w:bidi w:val="0"/>
        <w:snapToGrid/>
        <w:spacing w:beforeAutospacing="0" w:afterAutospacing="0" w:line="560" w:lineRule="exact"/>
        <w:ind w:left="0" w:leftChars="0" w:right="0" w:rightChars="0" w:firstLine="640" w:firstLineChars="200"/>
        <w:jc w:val="both"/>
        <w:outlineLvl w:val="9"/>
        <w:rPr>
          <w:rFonts w:hint="eastAsia" w:ascii="Times New Roman" w:hAnsi="宋体" w:eastAsia="仿宋_GB2312"/>
          <w:b w:val="0"/>
          <w:bCs/>
          <w:sz w:val="32"/>
          <w:szCs w:val="28"/>
          <w:lang w:val="en-US" w:eastAsia="zh-CN"/>
        </w:rPr>
      </w:pPr>
      <w:r>
        <w:rPr>
          <w:rFonts w:hint="eastAsia" w:ascii="Times New Roman" w:hAnsi="宋体" w:eastAsia="仿宋_GB2312"/>
          <w:b w:val="0"/>
          <w:bCs/>
          <w:sz w:val="32"/>
          <w:szCs w:val="28"/>
          <w:lang w:val="en-US" w:eastAsia="zh-CN"/>
        </w:rPr>
        <w:t>5.承办其他应由本院负责的工作。</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3" w:firstLineChars="200"/>
        <w:jc w:val="both"/>
        <w:textAlignment w:val="auto"/>
        <w:outlineLvl w:val="1"/>
        <w:rPr>
          <w:rFonts w:ascii="Arial" w:eastAsia="楷体"/>
          <w:b/>
          <w:sz w:val="32"/>
        </w:rPr>
      </w:pPr>
      <w:bookmarkStart w:id="13" w:name="_Toc8618"/>
      <w:r>
        <w:rPr>
          <w:rFonts w:hint="eastAsia" w:ascii="Arial" w:hAnsi="Times New Roman" w:eastAsia="楷体"/>
          <w:b/>
          <w:sz w:val="32"/>
          <w:szCs w:val="32"/>
        </w:rPr>
        <w:t>（二）内设机构及</w:t>
      </w:r>
      <w:r>
        <w:rPr>
          <w:rFonts w:hint="eastAsia" w:ascii="Arial" w:eastAsia="楷体"/>
          <w:b/>
          <w:sz w:val="32"/>
        </w:rPr>
        <w:t>人员编制情况</w:t>
      </w:r>
      <w:bookmarkEnd w:id="13"/>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2"/>
        <w:rPr>
          <w:rFonts w:hint="eastAsia" w:ascii="Times New Roman" w:hAnsi="仿宋_GB2312" w:eastAsia="仿宋_GB2312" w:cs="仿宋_GB2312"/>
          <w:b/>
          <w:sz w:val="32"/>
          <w:szCs w:val="28"/>
          <w:lang w:val="en-US" w:eastAsia="zh-CN"/>
        </w:rPr>
      </w:pPr>
      <w:bookmarkStart w:id="14" w:name="_Toc28217"/>
      <w:r>
        <w:rPr>
          <w:rFonts w:hint="eastAsia" w:ascii="Times New Roman" w:hAnsi="仿宋_GB2312" w:eastAsia="仿宋_GB2312" w:cs="仿宋_GB2312"/>
          <w:b/>
          <w:sz w:val="32"/>
          <w:szCs w:val="28"/>
          <w:lang w:val="en-US" w:eastAsia="zh-CN"/>
        </w:rPr>
        <w:t>1.内设机构</w:t>
      </w:r>
      <w:bookmarkEnd w:id="14"/>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lang w:val="en-US" w:eastAsia="zh-CN"/>
        </w:rPr>
      </w:pPr>
      <w:r>
        <w:rPr>
          <w:rFonts w:hint="eastAsia" w:ascii="Times New Roman" w:hAnsi="宋体" w:eastAsia="仿宋_GB2312"/>
          <w:sz w:val="32"/>
          <w:szCs w:val="28"/>
          <w:lang w:val="en-US" w:eastAsia="zh-CN"/>
        </w:rPr>
        <w:t>秦安县人民法院现有内设机构9个，分别为：政治部、执行局、综合办公室、审判管理办公室、诉讼服务中心、刑事审判庭、民事审判庭、综合庭、督察室。</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2"/>
        <w:rPr>
          <w:rFonts w:hint="eastAsia" w:ascii="Times New Roman" w:hAnsi="仿宋_GB2312" w:eastAsia="仿宋_GB2312" w:cs="仿宋_GB2312"/>
          <w:b/>
          <w:sz w:val="32"/>
          <w:szCs w:val="28"/>
          <w:lang w:val="en-US" w:eastAsia="zh-CN"/>
        </w:rPr>
      </w:pPr>
      <w:bookmarkStart w:id="15" w:name="_Toc8223"/>
      <w:r>
        <w:rPr>
          <w:rFonts w:hint="eastAsia" w:ascii="Times New Roman" w:hAnsi="仿宋_GB2312" w:eastAsia="仿宋_GB2312" w:cs="仿宋_GB2312"/>
          <w:b/>
          <w:sz w:val="32"/>
          <w:szCs w:val="28"/>
          <w:lang w:val="en-US" w:eastAsia="zh-CN"/>
        </w:rPr>
        <w:t>2.派出法庭</w:t>
      </w:r>
      <w:bookmarkEnd w:id="15"/>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lang w:val="en-US" w:eastAsia="zh-CN"/>
        </w:rPr>
      </w:pPr>
      <w:r>
        <w:rPr>
          <w:rFonts w:hint="eastAsia" w:ascii="Times New Roman" w:hAnsi="宋体" w:eastAsia="仿宋_GB2312"/>
          <w:sz w:val="32"/>
          <w:szCs w:val="28"/>
          <w:lang w:val="en-US" w:eastAsia="zh-CN"/>
        </w:rPr>
        <w:t>派出法庭4个，分别为：西川法庭、郭嘉法庭、王尹法庭、莲花法庭。</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2"/>
        <w:rPr>
          <w:rFonts w:hint="default" w:ascii="Times New Roman" w:hAnsi="仿宋_GB2312" w:eastAsia="仿宋_GB2312" w:cs="仿宋_GB2312"/>
          <w:b/>
          <w:sz w:val="32"/>
          <w:szCs w:val="28"/>
          <w:lang w:val="en-US" w:eastAsia="zh-CN"/>
        </w:rPr>
      </w:pPr>
      <w:bookmarkStart w:id="16" w:name="_Toc5008"/>
      <w:r>
        <w:rPr>
          <w:rFonts w:hint="eastAsia" w:ascii="Times New Roman" w:hAnsi="仿宋_GB2312" w:eastAsia="仿宋_GB2312" w:cs="仿宋_GB2312"/>
          <w:b/>
          <w:sz w:val="32"/>
          <w:szCs w:val="28"/>
          <w:lang w:val="en-US" w:eastAsia="zh-CN"/>
        </w:rPr>
        <w:t>3.</w:t>
      </w:r>
      <w:bookmarkEnd w:id="16"/>
      <w:r>
        <w:rPr>
          <w:rFonts w:hint="eastAsia" w:ascii="Times New Roman" w:hAnsi="仿宋_GB2312" w:eastAsia="仿宋_GB2312" w:cs="仿宋_GB2312"/>
          <w:b/>
          <w:sz w:val="32"/>
          <w:szCs w:val="28"/>
          <w:lang w:val="en-US" w:eastAsia="zh-CN"/>
        </w:rPr>
        <w:t>人员情况</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lang w:val="en-US" w:eastAsia="zh-CN"/>
        </w:rPr>
      </w:pPr>
      <w:r>
        <w:rPr>
          <w:rFonts w:hint="eastAsia" w:ascii="Times New Roman" w:hAnsi="宋体" w:eastAsia="仿宋_GB2312"/>
          <w:sz w:val="32"/>
          <w:szCs w:val="28"/>
          <w:lang w:val="en-US" w:eastAsia="zh-CN"/>
        </w:rPr>
        <w:t>截止2022年12月，我院现有总编制80人，其中中央政法编制74人，机关工勤编制6人；实有72人（其中公务员68人，工人5人）。</w:t>
      </w:r>
    </w:p>
    <w:bookmarkEnd w:id="10"/>
    <w:bookmarkEnd w:id="11"/>
    <w:bookmarkEnd w:id="12"/>
    <w:p>
      <w:pPr>
        <w:pStyle w:val="3"/>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3" w:firstLineChars="200"/>
        <w:jc w:val="both"/>
        <w:textAlignment w:val="auto"/>
        <w:outlineLvl w:val="0"/>
        <w:rPr>
          <w:rFonts w:ascii="Times New Roman" w:eastAsia="黑体"/>
          <w:b/>
          <w:sz w:val="32"/>
          <w:highlight w:val="none"/>
        </w:rPr>
      </w:pPr>
      <w:bookmarkStart w:id="17" w:name="_Toc3459"/>
      <w:bookmarkStart w:id="18" w:name="_Toc875"/>
      <w:bookmarkStart w:id="19" w:name="_Toc12205"/>
      <w:bookmarkStart w:id="20" w:name="_Toc10080"/>
      <w:bookmarkStart w:id="21" w:name="_Toc16297"/>
      <w:bookmarkStart w:id="22" w:name="_Toc26000"/>
      <w:bookmarkStart w:id="23" w:name="_Toc17042"/>
      <w:bookmarkStart w:id="24" w:name="_Toc31556"/>
      <w:r>
        <w:rPr>
          <w:rFonts w:hint="eastAsia" w:ascii="Times New Roman" w:eastAsia="黑体"/>
          <w:b/>
          <w:sz w:val="32"/>
          <w:highlight w:val="none"/>
        </w:rPr>
        <w:t>二、绩效评价工作组织开展情况</w:t>
      </w:r>
      <w:bookmarkEnd w:id="17"/>
      <w:bookmarkEnd w:id="18"/>
      <w:bookmarkEnd w:id="19"/>
      <w:bookmarkEnd w:id="20"/>
      <w:bookmarkEnd w:id="21"/>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rPr>
          <w:rFonts w:ascii="Times New Roman" w:eastAsia="仿宋_GB2312"/>
          <w:sz w:val="32"/>
          <w:highlight w:val="none"/>
        </w:rPr>
      </w:pPr>
      <w:bookmarkStart w:id="25" w:name="_Toc11166"/>
      <w:bookmarkStart w:id="26" w:name="_Toc20896"/>
      <w:bookmarkStart w:id="27" w:name="_Toc899"/>
      <w:r>
        <w:rPr>
          <w:rFonts w:hint="eastAsia" w:ascii="Times New Roman" w:eastAsia="仿宋_GB2312"/>
          <w:sz w:val="32"/>
          <w:highlight w:val="none"/>
        </w:rPr>
        <w:t>根据《甘肃省财政厅关于开展</w:t>
      </w:r>
      <w:r>
        <w:rPr>
          <w:rFonts w:hint="eastAsia" w:ascii="Times New Roman" w:eastAsia="仿宋_GB2312"/>
          <w:sz w:val="32"/>
          <w:highlight w:val="none"/>
          <w:lang w:eastAsia="zh-CN"/>
        </w:rPr>
        <w:t>2022</w:t>
      </w:r>
      <w:r>
        <w:rPr>
          <w:rFonts w:hint="eastAsia" w:ascii="Times New Roman" w:eastAsia="仿宋_GB2312"/>
          <w:sz w:val="32"/>
          <w:highlight w:val="none"/>
        </w:rPr>
        <w:t>年度省级预算执行情况绩效自评</w:t>
      </w:r>
      <w:r>
        <w:rPr>
          <w:rFonts w:hint="eastAsia" w:ascii="Times New Roman" w:eastAsia="仿宋_GB2312"/>
          <w:sz w:val="32"/>
          <w:highlight w:val="none"/>
          <w:lang w:val="en-US" w:eastAsia="zh-CN"/>
        </w:rPr>
        <w:t>工作</w:t>
      </w:r>
      <w:r>
        <w:rPr>
          <w:rFonts w:hint="eastAsia" w:ascii="Times New Roman" w:eastAsia="仿宋_GB2312"/>
          <w:sz w:val="32"/>
          <w:highlight w:val="none"/>
        </w:rPr>
        <w:t>的通知》（甘财绩〔</w:t>
      </w:r>
      <w:r>
        <w:rPr>
          <w:rFonts w:hint="eastAsia" w:ascii="Times New Roman" w:eastAsia="仿宋_GB2312"/>
          <w:sz w:val="32"/>
          <w:highlight w:val="none"/>
          <w:lang w:eastAsia="zh-CN"/>
        </w:rPr>
        <w:t>2022</w:t>
      </w:r>
      <w:r>
        <w:rPr>
          <w:rFonts w:hint="eastAsia" w:ascii="Times New Roman" w:eastAsia="仿宋_GB2312"/>
          <w:sz w:val="32"/>
          <w:highlight w:val="none"/>
        </w:rPr>
        <w:t>〕</w:t>
      </w:r>
      <w:r>
        <w:rPr>
          <w:rFonts w:hint="eastAsia" w:ascii="Times New Roman" w:eastAsia="仿宋_GB2312"/>
          <w:sz w:val="32"/>
          <w:highlight w:val="none"/>
          <w:lang w:val="en-US" w:eastAsia="zh-CN"/>
        </w:rPr>
        <w:t>7</w:t>
      </w:r>
      <w:r>
        <w:rPr>
          <w:rFonts w:hint="eastAsia" w:ascii="Times New Roman" w:eastAsia="仿宋_GB2312"/>
          <w:sz w:val="32"/>
          <w:highlight w:val="none"/>
        </w:rPr>
        <w:t>号）文件要求，</w:t>
      </w:r>
      <w:r>
        <w:rPr>
          <w:rFonts w:hint="eastAsia" w:ascii="Times New Roman" w:eastAsia="仿宋_GB2312"/>
          <w:sz w:val="32"/>
          <w:highlight w:val="none"/>
          <w:lang w:val="en-US" w:eastAsia="zh-CN"/>
        </w:rPr>
        <w:t>我院</w:t>
      </w:r>
      <w:r>
        <w:rPr>
          <w:rFonts w:hint="eastAsia" w:ascii="Times New Roman" w:eastAsia="仿宋_GB2312"/>
          <w:sz w:val="32"/>
          <w:highlight w:val="none"/>
        </w:rPr>
        <w:t>及时组织开展绩效</w:t>
      </w:r>
      <w:r>
        <w:rPr>
          <w:rFonts w:hint="eastAsia" w:ascii="Times New Roman" w:eastAsia="仿宋_GB2312"/>
          <w:sz w:val="32"/>
          <w:highlight w:val="none"/>
          <w:lang w:val="en-US" w:eastAsia="zh-CN"/>
        </w:rPr>
        <w:t>自评</w:t>
      </w:r>
      <w:r>
        <w:rPr>
          <w:rFonts w:hint="eastAsia" w:ascii="Times New Roman" w:eastAsia="仿宋_GB2312"/>
          <w:sz w:val="32"/>
          <w:highlight w:val="none"/>
        </w:rPr>
        <w:t>工作，对</w:t>
      </w:r>
      <w:r>
        <w:rPr>
          <w:rFonts w:hint="eastAsia" w:ascii="Times New Roman" w:eastAsia="仿宋_GB2312"/>
          <w:sz w:val="32"/>
          <w:highlight w:val="none"/>
          <w:lang w:eastAsia="zh-CN"/>
        </w:rPr>
        <w:t>2022</w:t>
      </w:r>
      <w:r>
        <w:rPr>
          <w:rFonts w:hint="eastAsia" w:ascii="Times New Roman" w:eastAsia="仿宋_GB2312"/>
          <w:sz w:val="32"/>
          <w:highlight w:val="none"/>
        </w:rPr>
        <w:t>年度省级预算执行绩效完成情况进行自我评价。具体工作开展情况如下：</w:t>
      </w:r>
      <w:bookmarkEnd w:id="25"/>
      <w:bookmarkEnd w:id="26"/>
      <w:bookmarkEnd w:id="27"/>
    </w:p>
    <w:p>
      <w:pPr>
        <w:pStyle w:val="4"/>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3" w:firstLineChars="200"/>
        <w:jc w:val="both"/>
        <w:textAlignment w:val="auto"/>
        <w:outlineLvl w:val="1"/>
        <w:rPr>
          <w:rFonts w:ascii="Arial" w:eastAsia="楷体"/>
          <w:b/>
          <w:sz w:val="32"/>
          <w:highlight w:val="none"/>
        </w:rPr>
      </w:pPr>
      <w:bookmarkStart w:id="28" w:name="_Toc4667"/>
      <w:bookmarkStart w:id="29" w:name="_Toc14185"/>
      <w:bookmarkStart w:id="30" w:name="_Toc25921"/>
      <w:bookmarkStart w:id="31" w:name="_Toc26937"/>
      <w:bookmarkStart w:id="32" w:name="_Toc31931"/>
      <w:bookmarkStart w:id="33" w:name="_Toc4291"/>
      <w:bookmarkStart w:id="34" w:name="_Toc29270"/>
      <w:r>
        <w:rPr>
          <w:rFonts w:hint="eastAsia" w:ascii="Arial" w:eastAsia="楷体"/>
          <w:b/>
          <w:sz w:val="32"/>
          <w:highlight w:val="none"/>
          <w:lang w:eastAsia="zh-CN"/>
        </w:rPr>
        <w:t>（</w:t>
      </w:r>
      <w:r>
        <w:rPr>
          <w:rFonts w:hint="eastAsia" w:ascii="Arial" w:eastAsia="楷体"/>
          <w:b/>
          <w:sz w:val="32"/>
          <w:highlight w:val="none"/>
          <w:lang w:val="en-US" w:eastAsia="zh-CN"/>
        </w:rPr>
        <w:t>一</w:t>
      </w:r>
      <w:r>
        <w:rPr>
          <w:rFonts w:hint="eastAsia" w:ascii="Arial" w:eastAsia="楷体"/>
          <w:b/>
          <w:sz w:val="32"/>
          <w:highlight w:val="none"/>
          <w:lang w:eastAsia="zh-CN"/>
        </w:rPr>
        <w:t>）</w:t>
      </w:r>
      <w:r>
        <w:rPr>
          <w:rFonts w:hint="eastAsia" w:ascii="Arial" w:eastAsia="楷体"/>
          <w:b/>
          <w:sz w:val="32"/>
          <w:highlight w:val="none"/>
        </w:rPr>
        <w:t>自评工作组织管理情况</w:t>
      </w:r>
      <w:bookmarkEnd w:id="28"/>
      <w:bookmarkEnd w:id="29"/>
      <w:bookmarkEnd w:id="30"/>
      <w:bookmarkEnd w:id="31"/>
      <w:bookmarkEnd w:id="32"/>
      <w:bookmarkEnd w:id="33"/>
      <w:bookmarkEnd w:id="34"/>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rPr>
          <w:rFonts w:ascii="Times New Roman" w:eastAsia="仿宋_GB2312"/>
          <w:sz w:val="32"/>
          <w:highlight w:val="none"/>
        </w:rPr>
      </w:pPr>
      <w:r>
        <w:rPr>
          <w:rFonts w:hint="eastAsia" w:ascii="Times New Roman" w:eastAsia="仿宋_GB2312"/>
          <w:sz w:val="32"/>
          <w:highlight w:val="none"/>
        </w:rPr>
        <w:t>我院十分重视此次绩效评价工作，要求财务部门严格按照省上有关文件精神，科学分析</w:t>
      </w:r>
      <w:r>
        <w:rPr>
          <w:rFonts w:hint="eastAsia" w:ascii="Times New Roman" w:eastAsia="仿宋_GB2312"/>
          <w:sz w:val="32"/>
          <w:highlight w:val="none"/>
          <w:lang w:eastAsia="zh-CN"/>
        </w:rPr>
        <w:t>、</w:t>
      </w:r>
      <w:r>
        <w:rPr>
          <w:rFonts w:hint="eastAsia" w:ascii="Times New Roman" w:eastAsia="仿宋_GB2312"/>
          <w:sz w:val="32"/>
          <w:highlight w:val="none"/>
        </w:rPr>
        <w:t>精准评价，确保绩效评价客观公正。工作启动后，严格按照《关于全面实施预算绩效管理的意见》（中发〔2018〕34号）、中共甘肃省委甘肃省人民政府《关于全面实施预算绩效管理的实施意见》（甘发〔2018〕32号）、《甘肃省财政厅关于开展2022年度省级预算执行情况绩效自评工作的通知》（甘财绩〔2022〕7号）等文件的要求，联合各相关业务部门共同完成此次自评工作。自评工作遵循科学公正、统筹兼顾、激励约束和公开透明的原则，以我院2022年初设定的绩效目标及相关法律法规、政策要求、行业规划、部门职责等为依据，运用定量和定性相结合的评价方法，对我院2022年度省级预算执行情况的经济性、效率性、效益性进行客观公正的分析评价。</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3" w:firstLineChars="200"/>
        <w:jc w:val="both"/>
        <w:textAlignment w:val="auto"/>
        <w:outlineLvl w:val="1"/>
        <w:rPr>
          <w:rFonts w:ascii="Arial" w:eastAsia="楷体"/>
          <w:b/>
          <w:sz w:val="32"/>
          <w:highlight w:val="none"/>
        </w:rPr>
      </w:pPr>
      <w:bookmarkStart w:id="35" w:name="_Toc4267"/>
      <w:bookmarkStart w:id="36" w:name="_Toc26980"/>
      <w:bookmarkStart w:id="37" w:name="_Toc13356"/>
      <w:bookmarkStart w:id="38" w:name="_Toc4453"/>
      <w:bookmarkStart w:id="39" w:name="_Toc2553"/>
      <w:bookmarkStart w:id="40" w:name="_Toc5806"/>
      <w:bookmarkStart w:id="41" w:name="_Toc28216"/>
      <w:r>
        <w:rPr>
          <w:rFonts w:hint="eastAsia" w:ascii="Arial" w:eastAsia="楷体"/>
          <w:b/>
          <w:sz w:val="32"/>
          <w:highlight w:val="none"/>
          <w:lang w:eastAsia="zh-CN"/>
        </w:rPr>
        <w:t>（</w:t>
      </w:r>
      <w:r>
        <w:rPr>
          <w:rFonts w:hint="eastAsia" w:ascii="Arial" w:eastAsia="楷体"/>
          <w:b/>
          <w:sz w:val="32"/>
          <w:highlight w:val="none"/>
          <w:lang w:val="en-US" w:eastAsia="zh-CN"/>
        </w:rPr>
        <w:t>二</w:t>
      </w:r>
      <w:r>
        <w:rPr>
          <w:rFonts w:hint="eastAsia" w:ascii="Arial" w:eastAsia="楷体"/>
          <w:b/>
          <w:sz w:val="32"/>
          <w:highlight w:val="none"/>
          <w:lang w:eastAsia="zh-CN"/>
        </w:rPr>
        <w:t>）</w:t>
      </w:r>
      <w:r>
        <w:rPr>
          <w:rFonts w:hint="eastAsia" w:ascii="Arial" w:eastAsia="楷体"/>
          <w:b/>
          <w:sz w:val="32"/>
          <w:highlight w:val="none"/>
        </w:rPr>
        <w:t>自评范围</w:t>
      </w:r>
      <w:bookmarkEnd w:id="35"/>
      <w:bookmarkEnd w:id="36"/>
      <w:bookmarkEnd w:id="37"/>
      <w:bookmarkEnd w:id="38"/>
      <w:bookmarkEnd w:id="39"/>
      <w:bookmarkEnd w:id="40"/>
      <w:bookmarkEnd w:id="41"/>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rPr>
          <w:rFonts w:ascii="Times New Roman" w:eastAsia="仿宋_GB2312"/>
          <w:sz w:val="32"/>
          <w:highlight w:val="none"/>
        </w:rPr>
      </w:pPr>
      <w:r>
        <w:rPr>
          <w:rFonts w:hint="eastAsia" w:ascii="Times New Roman" w:eastAsia="仿宋_GB2312"/>
          <w:sz w:val="32"/>
          <w:highlight w:val="none"/>
        </w:rPr>
        <w:t>本次绩效自评范围为</w:t>
      </w:r>
      <w:r>
        <w:rPr>
          <w:rFonts w:hint="eastAsia" w:ascii="Times New Roman" w:eastAsia="仿宋_GB2312"/>
          <w:sz w:val="32"/>
          <w:highlight w:val="none"/>
          <w:lang w:val="en-US" w:eastAsia="zh-CN"/>
        </w:rPr>
        <w:t>我院</w:t>
      </w:r>
      <w:r>
        <w:rPr>
          <w:rFonts w:hint="eastAsia" w:ascii="Times New Roman" w:eastAsia="仿宋_GB2312"/>
          <w:sz w:val="32"/>
          <w:highlight w:val="none"/>
          <w:lang w:eastAsia="zh-CN"/>
        </w:rPr>
        <w:t>2022</w:t>
      </w:r>
      <w:r>
        <w:rPr>
          <w:rFonts w:hint="eastAsia" w:ascii="Times New Roman" w:eastAsia="仿宋_GB2312"/>
          <w:sz w:val="32"/>
          <w:highlight w:val="none"/>
        </w:rPr>
        <w:t>年度省级财政拨款的基本支出和项目支出。按照省级部门项目支出、省对市县转移支付、部门整体支出三类评价对象全覆盖的原则，结合我院实际情况，自评对象</w:t>
      </w:r>
      <w:r>
        <w:rPr>
          <w:rFonts w:hint="eastAsia" w:ascii="Times New Roman" w:eastAsia="仿宋_GB2312"/>
          <w:sz w:val="32"/>
          <w:highlight w:val="none"/>
          <w:lang w:val="en-US" w:eastAsia="zh-CN"/>
        </w:rPr>
        <w:t>为</w:t>
      </w:r>
      <w:r>
        <w:rPr>
          <w:rFonts w:hint="eastAsia" w:ascii="Times New Roman" w:eastAsia="仿宋_GB2312"/>
          <w:sz w:val="32"/>
          <w:highlight w:val="none"/>
        </w:rPr>
        <w:t>部门整体支出自评</w:t>
      </w:r>
      <w:r>
        <w:rPr>
          <w:rFonts w:hint="eastAsia" w:ascii="Times New Roman" w:eastAsia="仿宋_GB2312"/>
          <w:sz w:val="32"/>
          <w:highlight w:val="none"/>
          <w:lang w:val="en-US" w:eastAsia="zh-CN"/>
        </w:rPr>
        <w:t>及法庭运维费、全省法院</w:t>
      </w:r>
      <w:r>
        <w:rPr>
          <w:rFonts w:hint="eastAsia" w:ascii="Times New Roman" w:eastAsia="仿宋_GB2312"/>
          <w:sz w:val="32"/>
          <w:highlight w:val="none"/>
        </w:rPr>
        <w:t>业务费</w:t>
      </w:r>
      <w:r>
        <w:rPr>
          <w:rFonts w:hint="eastAsia" w:ascii="Times New Roman" w:eastAsia="仿宋_GB2312"/>
          <w:sz w:val="32"/>
          <w:highlight w:val="none"/>
          <w:lang w:val="en-US" w:eastAsia="zh-CN"/>
        </w:rPr>
        <w:t>和中央政法转移支付资金三</w:t>
      </w:r>
      <w:r>
        <w:rPr>
          <w:rFonts w:hint="eastAsia" w:ascii="Times New Roman" w:eastAsia="仿宋_GB2312"/>
          <w:sz w:val="32"/>
          <w:highlight w:val="none"/>
        </w:rPr>
        <w:t>个项目自评。自评内容包括总体绩效目标完成情况、各项绩效指标完成情况及预算执行情况，对未完成绩效目标或偏离绩效目标较大的项目分析说明偏离绩效目标的原因，并提出下一步改进措施。</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60" w:lineRule="exact"/>
        <w:ind w:left="0" w:leftChars="0" w:right="0" w:rightChars="0" w:firstLine="643" w:firstLineChars="200"/>
        <w:jc w:val="both"/>
        <w:textAlignment w:val="auto"/>
        <w:outlineLvl w:val="1"/>
        <w:rPr>
          <w:rFonts w:ascii="Arial" w:eastAsia="楷体"/>
          <w:b/>
          <w:sz w:val="32"/>
          <w:highlight w:val="none"/>
        </w:rPr>
      </w:pPr>
      <w:bookmarkStart w:id="42" w:name="_Toc14332"/>
      <w:bookmarkStart w:id="43" w:name="_Toc32735"/>
      <w:bookmarkStart w:id="44" w:name="_Toc25429"/>
      <w:bookmarkStart w:id="45" w:name="_Toc31457"/>
      <w:bookmarkStart w:id="46" w:name="_Toc7689"/>
      <w:bookmarkStart w:id="47" w:name="_Toc18694"/>
      <w:bookmarkStart w:id="48" w:name="_Toc22785"/>
      <w:r>
        <w:rPr>
          <w:rFonts w:hint="eastAsia" w:ascii="Arial" w:eastAsia="楷体"/>
          <w:b/>
          <w:sz w:val="32"/>
          <w:highlight w:val="none"/>
          <w:lang w:eastAsia="zh-CN"/>
        </w:rPr>
        <w:t>（</w:t>
      </w:r>
      <w:r>
        <w:rPr>
          <w:rFonts w:hint="eastAsia" w:ascii="Arial" w:eastAsia="楷体"/>
          <w:b/>
          <w:sz w:val="32"/>
          <w:highlight w:val="none"/>
          <w:lang w:val="en-US" w:eastAsia="zh-CN"/>
        </w:rPr>
        <w:t>三</w:t>
      </w:r>
      <w:r>
        <w:rPr>
          <w:rFonts w:hint="eastAsia" w:ascii="Arial" w:eastAsia="楷体"/>
          <w:b/>
          <w:sz w:val="32"/>
          <w:highlight w:val="none"/>
          <w:lang w:eastAsia="zh-CN"/>
        </w:rPr>
        <w:t>）</w:t>
      </w:r>
      <w:r>
        <w:rPr>
          <w:rFonts w:hint="eastAsia" w:ascii="Arial" w:eastAsia="楷体"/>
          <w:b/>
          <w:sz w:val="32"/>
          <w:highlight w:val="none"/>
        </w:rPr>
        <w:t>自评工作程序</w:t>
      </w:r>
      <w:bookmarkEnd w:id="42"/>
      <w:bookmarkEnd w:id="43"/>
      <w:bookmarkEnd w:id="44"/>
      <w:bookmarkEnd w:id="45"/>
      <w:bookmarkEnd w:id="46"/>
      <w:bookmarkEnd w:id="47"/>
      <w:bookmarkEnd w:id="48"/>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rPr>
          <w:rFonts w:hint="eastAsia" w:ascii="Times New Roman" w:eastAsia="仿宋_GB2312"/>
          <w:sz w:val="32"/>
          <w:highlight w:val="none"/>
          <w:lang w:eastAsia="zh-CN"/>
        </w:rPr>
      </w:pPr>
      <w:r>
        <w:rPr>
          <w:rFonts w:hint="eastAsia" w:ascii="Times New Roman" w:eastAsia="仿宋_GB2312"/>
          <w:sz w:val="32"/>
          <w:highlight w:val="none"/>
        </w:rPr>
        <w:t>本次绩效自评工作主要包括以下工作程序</w:t>
      </w:r>
      <w:r>
        <w:rPr>
          <w:rFonts w:hint="eastAsia" w:ascii="Times New Roman" w:eastAsia="仿宋_GB2312"/>
          <w:sz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rPr>
          <w:rFonts w:ascii="Times New Roman" w:eastAsia="仿宋_GB2312"/>
          <w:sz w:val="32"/>
          <w:highlight w:val="none"/>
        </w:rPr>
      </w:pPr>
      <w:r>
        <w:rPr>
          <w:rFonts w:hint="eastAsia" w:ascii="Times New Roman" w:eastAsia="仿宋_GB2312"/>
          <w:sz w:val="32"/>
          <w:highlight w:val="none"/>
        </w:rPr>
        <w:t>1.根据</w:t>
      </w:r>
      <w:r>
        <w:rPr>
          <w:rFonts w:hint="eastAsia" w:ascii="Times New Roman" w:eastAsia="仿宋_GB2312"/>
          <w:sz w:val="32"/>
          <w:highlight w:val="none"/>
          <w:lang w:val="en-US" w:eastAsia="zh-CN"/>
        </w:rPr>
        <w:t>我院</w:t>
      </w:r>
      <w:r>
        <w:rPr>
          <w:rFonts w:hint="eastAsia" w:ascii="Times New Roman" w:eastAsia="仿宋_GB2312"/>
          <w:sz w:val="32"/>
          <w:highlight w:val="none"/>
        </w:rPr>
        <w:t>整体</w:t>
      </w:r>
      <w:r>
        <w:rPr>
          <w:rFonts w:ascii="Times New Roman" w:eastAsia="仿宋_GB2312"/>
          <w:sz w:val="32"/>
          <w:highlight w:val="none"/>
        </w:rPr>
        <w:t>支出和</w:t>
      </w:r>
      <w:r>
        <w:rPr>
          <w:rFonts w:hint="eastAsia" w:ascii="Times New Roman" w:eastAsia="仿宋_GB2312"/>
          <w:sz w:val="32"/>
          <w:highlight w:val="none"/>
        </w:rPr>
        <w:t>项目支出绩效目标的设定情况，收集各业务</w:t>
      </w:r>
      <w:r>
        <w:rPr>
          <w:rFonts w:hint="eastAsia" w:ascii="Times New Roman" w:eastAsia="仿宋_GB2312"/>
          <w:sz w:val="32"/>
          <w:highlight w:val="none"/>
          <w:lang w:val="en-US" w:eastAsia="zh-CN"/>
        </w:rPr>
        <w:t>部门</w:t>
      </w:r>
      <w:r>
        <w:rPr>
          <w:rFonts w:ascii="Times New Roman" w:eastAsia="仿宋_GB2312"/>
          <w:sz w:val="32"/>
          <w:highlight w:val="none"/>
        </w:rPr>
        <w:t>绩效目标</w:t>
      </w:r>
      <w:r>
        <w:rPr>
          <w:rFonts w:hint="eastAsia" w:ascii="Times New Roman" w:eastAsia="仿宋_GB2312"/>
          <w:sz w:val="32"/>
          <w:highlight w:val="none"/>
        </w:rPr>
        <w:t>实现程度</w:t>
      </w:r>
      <w:r>
        <w:rPr>
          <w:rFonts w:ascii="Times New Roman" w:eastAsia="仿宋_GB2312"/>
          <w:sz w:val="32"/>
          <w:highlight w:val="none"/>
        </w:rPr>
        <w:t>、预算执行进度</w:t>
      </w:r>
      <w:r>
        <w:rPr>
          <w:rFonts w:hint="eastAsia" w:ascii="Times New Roman" w:eastAsia="仿宋_GB2312"/>
          <w:sz w:val="32"/>
          <w:highlight w:val="none"/>
        </w:rPr>
        <w:t>等绩效评价</w:t>
      </w:r>
      <w:r>
        <w:rPr>
          <w:rFonts w:ascii="Times New Roman" w:eastAsia="仿宋_GB2312"/>
          <w:sz w:val="32"/>
          <w:highlight w:val="none"/>
        </w:rPr>
        <w:t>基础</w:t>
      </w:r>
      <w:r>
        <w:rPr>
          <w:rFonts w:hint="eastAsia" w:ascii="Times New Roman" w:eastAsia="仿宋_GB2312"/>
          <w:sz w:val="32"/>
          <w:highlight w:val="none"/>
        </w:rPr>
        <w:t>资料。</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rPr>
          <w:rFonts w:ascii="Times New Roman" w:eastAsia="仿宋_GB2312"/>
          <w:sz w:val="32"/>
          <w:highlight w:val="none"/>
        </w:rPr>
      </w:pPr>
      <w:r>
        <w:rPr>
          <w:rFonts w:ascii="Times New Roman" w:eastAsia="仿宋_GB2312"/>
          <w:sz w:val="32"/>
          <w:highlight w:val="none"/>
        </w:rPr>
        <w:t>2.</w:t>
      </w:r>
      <w:r>
        <w:rPr>
          <w:rFonts w:hint="eastAsia" w:ascii="Times New Roman" w:eastAsia="仿宋_GB2312"/>
          <w:sz w:val="32"/>
          <w:highlight w:val="none"/>
        </w:rPr>
        <w:t>整理分析相关资料，统计财政资金预算执行情况和各项</w:t>
      </w:r>
      <w:r>
        <w:rPr>
          <w:rFonts w:ascii="Times New Roman" w:eastAsia="仿宋_GB2312"/>
          <w:sz w:val="32"/>
          <w:highlight w:val="none"/>
        </w:rPr>
        <w:t>绩效目标完成</w:t>
      </w:r>
      <w:r>
        <w:rPr>
          <w:rFonts w:hint="eastAsia" w:ascii="Times New Roman" w:eastAsia="仿宋_GB2312"/>
          <w:sz w:val="32"/>
          <w:highlight w:val="none"/>
        </w:rPr>
        <w:t>情况，对年初</w:t>
      </w:r>
      <w:r>
        <w:rPr>
          <w:rFonts w:ascii="Times New Roman" w:eastAsia="仿宋_GB2312"/>
          <w:sz w:val="32"/>
          <w:highlight w:val="none"/>
        </w:rPr>
        <w:t>设定的</w:t>
      </w:r>
      <w:r>
        <w:rPr>
          <w:rFonts w:hint="eastAsia" w:ascii="Times New Roman" w:eastAsia="仿宋_GB2312"/>
          <w:sz w:val="32"/>
          <w:highlight w:val="none"/>
        </w:rPr>
        <w:t>绩效指标及各项指标完成情况进行对比分析，填写《</w:t>
      </w:r>
      <w:r>
        <w:rPr>
          <w:rFonts w:hint="eastAsia" w:ascii="Times New Roman" w:eastAsia="仿宋_GB2312"/>
          <w:sz w:val="32"/>
          <w:highlight w:val="none"/>
          <w:lang w:eastAsia="zh-CN"/>
        </w:rPr>
        <w:t>2022</w:t>
      </w:r>
      <w:r>
        <w:rPr>
          <w:rFonts w:hint="eastAsia" w:ascii="Times New Roman" w:eastAsia="仿宋_GB2312"/>
          <w:sz w:val="32"/>
          <w:highlight w:val="none"/>
        </w:rPr>
        <w:t>年度部门预算执行情况绩效自评报表》；</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rPr>
          <w:rFonts w:hint="eastAsia" w:ascii="Times New Roman" w:eastAsia="仿宋_GB2312"/>
          <w:sz w:val="32"/>
          <w:highlight w:val="none"/>
        </w:rPr>
      </w:pPr>
      <w:r>
        <w:rPr>
          <w:rFonts w:ascii="Times New Roman" w:eastAsia="仿宋_GB2312"/>
          <w:sz w:val="32"/>
          <w:highlight w:val="none"/>
        </w:rPr>
        <w:t>3.</w:t>
      </w:r>
      <w:r>
        <w:rPr>
          <w:rFonts w:hint="eastAsia" w:ascii="Times New Roman" w:eastAsia="仿宋_GB2312"/>
          <w:sz w:val="32"/>
          <w:highlight w:val="none"/>
        </w:rPr>
        <w:t>总结评价结论，归纳问题，分析原因，提出改进</w:t>
      </w:r>
      <w:r>
        <w:rPr>
          <w:rFonts w:ascii="Times New Roman" w:eastAsia="仿宋_GB2312"/>
          <w:sz w:val="32"/>
          <w:highlight w:val="none"/>
        </w:rPr>
        <w:t>措施</w:t>
      </w:r>
      <w:r>
        <w:rPr>
          <w:rFonts w:hint="eastAsia" w:ascii="Times New Roman" w:eastAsia="仿宋_GB2312"/>
          <w:sz w:val="32"/>
          <w:highlight w:val="none"/>
        </w:rPr>
        <w:t>，</w:t>
      </w:r>
      <w:r>
        <w:rPr>
          <w:rFonts w:hint="eastAsia" w:ascii="Times New Roman" w:eastAsia="仿宋_GB2312"/>
          <w:sz w:val="32"/>
          <w:highlight w:val="none"/>
          <w:lang w:val="en-US" w:eastAsia="zh-CN"/>
        </w:rPr>
        <w:t>撰写</w:t>
      </w:r>
      <w:r>
        <w:rPr>
          <w:rFonts w:hint="eastAsia" w:ascii="Times New Roman" w:eastAsia="仿宋_GB2312"/>
          <w:sz w:val="32"/>
          <w:highlight w:val="none"/>
        </w:rPr>
        <w:t>《</w:t>
      </w:r>
      <w:r>
        <w:rPr>
          <w:rFonts w:hint="eastAsia" w:ascii="Times New Roman" w:eastAsia="仿宋_GB2312"/>
          <w:sz w:val="32"/>
          <w:highlight w:val="none"/>
          <w:lang w:val="en-US" w:eastAsia="zh-CN"/>
        </w:rPr>
        <w:t>秦安县人民</w:t>
      </w:r>
      <w:r>
        <w:rPr>
          <w:rFonts w:hint="eastAsia" w:ascii="Times New Roman" w:eastAsia="仿宋_GB2312"/>
          <w:sz w:val="32"/>
          <w:highlight w:val="none"/>
          <w:lang w:eastAsia="zh-CN"/>
        </w:rPr>
        <w:t>法院2022</w:t>
      </w:r>
      <w:r>
        <w:rPr>
          <w:rFonts w:hint="eastAsia" w:ascii="Times New Roman" w:eastAsia="仿宋_GB2312"/>
          <w:sz w:val="32"/>
          <w:highlight w:val="none"/>
        </w:rPr>
        <w:t>年度预算执行情况自评报告》。</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firstLine="640" w:firstLineChars="200"/>
        <w:textAlignment w:val="auto"/>
        <w:rPr>
          <w:rFonts w:hint="eastAsia" w:ascii="Times New Roman" w:eastAsia="仿宋_GB2312"/>
          <w:sz w:val="32"/>
          <w:highlight w:val="none"/>
          <w:lang w:val="en-US" w:eastAsia="zh-CN"/>
        </w:rPr>
      </w:pPr>
      <w:r>
        <w:rPr>
          <w:rFonts w:hint="eastAsia" w:ascii="Times New Roman" w:eastAsia="仿宋_GB2312"/>
          <w:sz w:val="32"/>
          <w:highlight w:val="none"/>
          <w:lang w:val="en-US" w:eastAsia="zh-CN"/>
        </w:rPr>
        <w:t>4.自评表和自评报告完成之后，进行内部审核，对自评表的真实性、完整性、合理性和客观性进行初步审核，并对发现的问题及时反馈和修改，修改完善后报送审核备案。</w:t>
      </w:r>
    </w:p>
    <w:p>
      <w:pPr>
        <w:pStyle w:val="3"/>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0"/>
        <w:rPr>
          <w:rFonts w:ascii="Times New Roman" w:eastAsia="黑体"/>
          <w:b/>
          <w:sz w:val="32"/>
        </w:rPr>
      </w:pPr>
      <w:bookmarkStart w:id="49" w:name="_Toc14705"/>
      <w:r>
        <w:rPr>
          <w:rFonts w:hint="eastAsia" w:ascii="Times New Roman" w:eastAsia="黑体"/>
          <w:b/>
          <w:sz w:val="32"/>
        </w:rPr>
        <w:t>三、部门整体支出绩效自评情况分析</w:t>
      </w:r>
      <w:bookmarkEnd w:id="22"/>
      <w:bookmarkEnd w:id="23"/>
      <w:bookmarkEnd w:id="24"/>
      <w:bookmarkEnd w:id="49"/>
      <w:r>
        <w:rPr>
          <w:rFonts w:ascii="Times New Roman" w:eastAsia="黑体"/>
          <w:b/>
          <w:sz w:val="32"/>
        </w:rPr>
        <w:tab/>
      </w:r>
    </w:p>
    <w:p>
      <w:pPr>
        <w:pStyle w:val="4"/>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1"/>
        <w:rPr>
          <w:rFonts w:hint="eastAsia" w:ascii="Arial" w:eastAsia="楷体"/>
          <w:b/>
          <w:sz w:val="32"/>
          <w:lang w:eastAsia="zh-CN"/>
        </w:rPr>
      </w:pPr>
      <w:bookmarkStart w:id="50" w:name="_Toc11401"/>
      <w:bookmarkStart w:id="51" w:name="_Toc8171"/>
      <w:bookmarkStart w:id="52" w:name="_Toc3483"/>
      <w:bookmarkStart w:id="53" w:name="_Toc32623"/>
      <w:r>
        <w:rPr>
          <w:rFonts w:hint="eastAsia" w:ascii="Arial" w:eastAsia="楷体"/>
          <w:b/>
          <w:sz w:val="32"/>
        </w:rPr>
        <w:t>（一）部门决算情况</w:t>
      </w:r>
      <w:bookmarkEnd w:id="50"/>
      <w:bookmarkEnd w:id="51"/>
      <w:bookmarkEnd w:id="52"/>
      <w:bookmarkEnd w:id="53"/>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eastAsia="仿宋_GB2312"/>
          <w:sz w:val="32"/>
          <w:lang w:val="en-US" w:eastAsia="zh-CN"/>
        </w:rPr>
      </w:pPr>
      <w:r>
        <w:rPr>
          <w:rFonts w:hint="eastAsia" w:ascii="Times New Roman" w:eastAsia="仿宋_GB2312"/>
          <w:sz w:val="32"/>
          <w:lang w:val="en-US" w:eastAsia="zh-CN"/>
        </w:rPr>
        <w:t>2022年度，秦安县人民法院共收到省级公共预算财政拨款收入2,193.5</w:t>
      </w:r>
      <w:r>
        <w:rPr>
          <w:rFonts w:hint="eastAsia" w:ascii="Times New Roman"/>
          <w:sz w:val="32"/>
          <w:lang w:val="en-US" w:eastAsia="zh-CN"/>
        </w:rPr>
        <w:t>4</w:t>
      </w:r>
      <w:r>
        <w:rPr>
          <w:rFonts w:hint="eastAsia" w:ascii="Times New Roman" w:eastAsia="仿宋_GB2312"/>
          <w:sz w:val="32"/>
          <w:lang w:val="en-US" w:eastAsia="zh-CN"/>
        </w:rPr>
        <w:t>万元</w:t>
      </w:r>
      <w:r>
        <w:rPr>
          <w:rFonts w:hint="eastAsia" w:ascii="Times New Roman"/>
          <w:sz w:val="32"/>
          <w:lang w:val="en-US" w:eastAsia="zh-CN"/>
        </w:rPr>
        <w:t>，</w:t>
      </w:r>
      <w:r>
        <w:rPr>
          <w:rFonts w:hint="eastAsia" w:ascii="Times New Roman" w:eastAsia="仿宋_GB2312"/>
          <w:sz w:val="32"/>
          <w:lang w:val="en-US" w:eastAsia="zh-CN"/>
        </w:rPr>
        <w:t>2021年结转52.89万元，本年度可用经费共</w:t>
      </w:r>
      <w:r>
        <w:rPr>
          <w:rFonts w:hint="eastAsia" w:ascii="Times New Roman" w:eastAsia="仿宋_GB2312"/>
          <w:sz w:val="32"/>
          <w:highlight w:val="none"/>
          <w:lang w:val="en-US" w:eastAsia="zh-CN"/>
        </w:rPr>
        <w:t>2,246.4</w:t>
      </w:r>
      <w:r>
        <w:rPr>
          <w:rFonts w:hint="eastAsia" w:ascii="Times New Roman"/>
          <w:sz w:val="32"/>
          <w:highlight w:val="none"/>
          <w:lang w:val="en-US" w:eastAsia="zh-CN"/>
        </w:rPr>
        <w:t>4</w:t>
      </w:r>
      <w:r>
        <w:rPr>
          <w:rFonts w:hint="eastAsia" w:ascii="Times New Roman" w:eastAsia="仿宋_GB2312"/>
          <w:sz w:val="32"/>
          <w:lang w:val="en-US" w:eastAsia="zh-CN"/>
        </w:rPr>
        <w:t>万元。2022年度，共支出各类经费2,224.16万元，</w:t>
      </w:r>
      <w:r>
        <w:rPr>
          <w:rFonts w:hint="eastAsia" w:ascii="Times New Roman" w:eastAsia="仿宋_GB2312"/>
          <w:sz w:val="32"/>
        </w:rPr>
        <w:t>部门整体支出预算执行率为</w:t>
      </w:r>
      <w:r>
        <w:rPr>
          <w:rFonts w:hint="eastAsia" w:ascii="Times New Roman" w:eastAsia="仿宋_GB2312"/>
          <w:sz w:val="32"/>
          <w:lang w:val="en-US" w:eastAsia="zh-CN"/>
        </w:rPr>
        <w:t>99.01%。</w:t>
      </w:r>
    </w:p>
    <w:p>
      <w:pPr>
        <w:pStyle w:val="4"/>
        <w:keepNext w:val="0"/>
        <w:keepLines w:val="0"/>
        <w:pageBreakBefore w:val="0"/>
        <w:widowControl w:val="0"/>
        <w:kinsoku/>
        <w:wordWrap/>
        <w:overflowPunct w:val="0"/>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1"/>
        <w:rPr>
          <w:rFonts w:ascii="Arial" w:eastAsia="楷体"/>
          <w:b/>
          <w:sz w:val="32"/>
        </w:rPr>
      </w:pPr>
      <w:bookmarkStart w:id="54" w:name="_Toc10769"/>
      <w:bookmarkStart w:id="55" w:name="_Toc21423"/>
      <w:bookmarkStart w:id="56" w:name="_Toc22782"/>
      <w:bookmarkStart w:id="57" w:name="_Toc24333"/>
      <w:r>
        <w:rPr>
          <w:rFonts w:hint="eastAsia" w:ascii="Arial" w:eastAsia="楷体"/>
          <w:b/>
          <w:sz w:val="32"/>
        </w:rPr>
        <w:t>（二）总体绩效目标完成情况分析</w:t>
      </w:r>
      <w:bookmarkEnd w:id="54"/>
      <w:bookmarkEnd w:id="55"/>
      <w:bookmarkEnd w:id="56"/>
      <w:bookmarkEnd w:id="57"/>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Times New Roman" w:eastAsia="仿宋_GB2312"/>
          <w:sz w:val="32"/>
        </w:rPr>
      </w:pPr>
      <w:r>
        <w:rPr>
          <w:rFonts w:hint="eastAsia" w:ascii="Times New Roman" w:eastAsia="仿宋_GB2312"/>
          <w:sz w:val="32"/>
        </w:rPr>
        <w:t>经综合评价与分析，</w:t>
      </w:r>
      <w:r>
        <w:rPr>
          <w:rFonts w:hint="eastAsia" w:ascii="Times New Roman" w:eastAsia="仿宋_GB2312"/>
          <w:sz w:val="32"/>
          <w:lang w:val="en-US" w:eastAsia="zh-CN"/>
        </w:rPr>
        <w:t>秦安县</w:t>
      </w:r>
      <w:r>
        <w:rPr>
          <w:rFonts w:hint="eastAsia" w:ascii="Times New Roman" w:eastAsia="仿宋_GB2312"/>
          <w:sz w:val="32"/>
          <w:lang w:eastAsia="zh-CN"/>
        </w:rPr>
        <w:t>人民法院202</w:t>
      </w:r>
      <w:r>
        <w:rPr>
          <w:rFonts w:hint="eastAsia" w:ascii="Times New Roman" w:eastAsia="仿宋_GB2312"/>
          <w:sz w:val="32"/>
          <w:lang w:val="en-US" w:eastAsia="zh-CN"/>
        </w:rPr>
        <w:t>2</w:t>
      </w:r>
      <w:r>
        <w:rPr>
          <w:rFonts w:ascii="Times New Roman" w:eastAsia="仿宋_GB2312"/>
          <w:sz w:val="32"/>
        </w:rPr>
        <w:t>年度部门整体支出绩效评价最终得分为</w:t>
      </w:r>
      <w:r>
        <w:rPr>
          <w:rFonts w:hint="eastAsia" w:ascii="Times New Roman" w:eastAsia="仿宋_GB2312"/>
          <w:sz w:val="32"/>
          <w:lang w:val="en-US" w:eastAsia="zh-CN"/>
        </w:rPr>
        <w:t>99.9</w:t>
      </w:r>
      <w:r>
        <w:rPr>
          <w:rFonts w:ascii="Times New Roman" w:eastAsia="仿宋_GB2312"/>
          <w:sz w:val="32"/>
        </w:rPr>
        <w:t>分，评价结果为“</w:t>
      </w:r>
      <w:r>
        <w:rPr>
          <w:rFonts w:hint="eastAsia" w:ascii="Times New Roman" w:eastAsia="仿宋_GB2312"/>
          <w:sz w:val="32"/>
          <w:lang w:eastAsia="zh-CN"/>
        </w:rPr>
        <w:t>优</w:t>
      </w:r>
      <w:r>
        <w:rPr>
          <w:rFonts w:hint="eastAsia" w:ascii="Times New Roman"/>
          <w:sz w:val="32"/>
          <w:lang w:val="en-US" w:eastAsia="zh-CN"/>
        </w:rPr>
        <w:t>秀</w:t>
      </w:r>
      <w:r>
        <w:rPr>
          <w:rFonts w:ascii="Times New Roman" w:eastAsia="仿宋_GB2312"/>
          <w:sz w:val="32"/>
        </w:rPr>
        <w:t>”。最终评分结果如</w:t>
      </w:r>
      <w:r>
        <w:rPr>
          <w:rFonts w:hint="eastAsia" w:ascii="Times New Roman" w:eastAsia="仿宋_GB2312"/>
          <w:sz w:val="32"/>
        </w:rPr>
        <w:t>下</w:t>
      </w:r>
      <w:r>
        <w:rPr>
          <w:rFonts w:ascii="Times New Roman" w:eastAsia="仿宋_GB2312"/>
          <w:sz w:val="32"/>
        </w:rPr>
        <w:t>表所示</w:t>
      </w:r>
      <w:r>
        <w:rPr>
          <w:rFonts w:hint="eastAsia" w:ascii="Times New Roman" w:eastAsia="仿宋_GB2312"/>
          <w:sz w:val="32"/>
        </w:rPr>
        <w:t>：</w:t>
      </w:r>
    </w:p>
    <w:p>
      <w:pPr>
        <w:pageBreakBefore w:val="0"/>
        <w:kinsoku/>
        <w:wordWrap/>
        <w:overflowPunct w:val="0"/>
        <w:topLinePunct w:val="0"/>
        <w:bidi w:val="0"/>
        <w:snapToGrid/>
        <w:spacing w:beforeAutospacing="0" w:afterAutospacing="0" w:line="560" w:lineRule="exact"/>
        <w:ind w:left="0" w:leftChars="0" w:firstLine="643" w:firstLineChars="200"/>
        <w:jc w:val="center"/>
        <w:rPr>
          <w:rFonts w:ascii="Times New Roman" w:hAnsi="宋体" w:eastAsia="仿宋_GB2312"/>
          <w:sz w:val="32"/>
          <w:highlight w:val="none"/>
        </w:rPr>
      </w:pPr>
      <w:r>
        <w:rPr>
          <w:rFonts w:hint="eastAsia" w:ascii="Times New Roman" w:hAnsi="宋体" w:eastAsia="仿宋_GB2312" w:cs="宋体"/>
          <w:b/>
          <w:bCs/>
          <w:kern w:val="0"/>
          <w:sz w:val="32"/>
          <w:highlight w:val="none"/>
        </w:rPr>
        <w:t>202</w:t>
      </w:r>
      <w:r>
        <w:rPr>
          <w:rFonts w:hint="eastAsia" w:ascii="Times New Roman" w:hAnsi="宋体" w:eastAsia="仿宋_GB2312" w:cs="宋体"/>
          <w:b/>
          <w:bCs/>
          <w:kern w:val="0"/>
          <w:sz w:val="32"/>
          <w:highlight w:val="none"/>
          <w:lang w:val="en-US" w:eastAsia="zh-CN"/>
        </w:rPr>
        <w:t>2</w:t>
      </w:r>
      <w:r>
        <w:rPr>
          <w:rFonts w:hint="eastAsia" w:ascii="Times New Roman" w:hAnsi="宋体" w:eastAsia="仿宋_GB2312" w:cs="宋体"/>
          <w:b/>
          <w:bCs/>
          <w:kern w:val="0"/>
          <w:sz w:val="32"/>
          <w:highlight w:val="none"/>
        </w:rPr>
        <w:t>年度部门整体支出绩效评价指标得分情况</w:t>
      </w:r>
    </w:p>
    <w:tbl>
      <w:tblPr>
        <w:tblStyle w:val="21"/>
        <w:tblW w:w="9039"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33"/>
        <w:gridCol w:w="1678"/>
        <w:gridCol w:w="1560"/>
        <w:gridCol w:w="226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一级指标</w:t>
            </w:r>
          </w:p>
        </w:tc>
        <w:tc>
          <w:tcPr>
            <w:tcW w:w="1678"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分值</w:t>
            </w:r>
          </w:p>
        </w:tc>
        <w:tc>
          <w:tcPr>
            <w:tcW w:w="1560"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自评得分</w:t>
            </w:r>
          </w:p>
        </w:tc>
        <w:tc>
          <w:tcPr>
            <w:tcW w:w="2268"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得分率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keepNext w:val="0"/>
              <w:keepLines w:val="0"/>
              <w:pageBreakBefore w:val="0"/>
              <w:widowControl/>
              <w:suppressLineNumbers w:val="0"/>
              <w:kinsoku/>
              <w:wordWrap/>
              <w:overflowPunct w:val="0"/>
              <w:topLinePunct w:val="0"/>
              <w:bidi w:val="0"/>
              <w:ind w:firstLine="440" w:firstLineChars="200"/>
              <w:jc w:val="left"/>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预算执行率</w:t>
            </w:r>
          </w:p>
        </w:tc>
        <w:tc>
          <w:tcPr>
            <w:tcW w:w="167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56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default" w:ascii="宋体" w:hAnsi="宋体" w:eastAsia="宋体" w:cs="宋体"/>
                <w:kern w:val="0"/>
                <w:sz w:val="22"/>
                <w:szCs w:val="22"/>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9.9</w:t>
            </w:r>
          </w:p>
        </w:tc>
        <w:tc>
          <w:tcPr>
            <w:tcW w:w="226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eastAsia" w:ascii="宋体" w:hAnsi="宋体" w:eastAsia="宋体" w:cs="宋体"/>
                <w:kern w:val="0"/>
                <w:sz w:val="22"/>
                <w:szCs w:val="22"/>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99%</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keepNext w:val="0"/>
              <w:keepLines w:val="0"/>
              <w:pageBreakBefore w:val="0"/>
              <w:widowControl/>
              <w:suppressLineNumbers w:val="0"/>
              <w:kinsoku/>
              <w:wordWrap/>
              <w:overflowPunct w:val="0"/>
              <w:topLinePunct w:val="0"/>
              <w:bidi w:val="0"/>
              <w:ind w:firstLine="440" w:firstLineChars="200"/>
              <w:jc w:val="left"/>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部门管理</w:t>
            </w:r>
          </w:p>
        </w:tc>
        <w:tc>
          <w:tcPr>
            <w:tcW w:w="167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56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default" w:ascii="宋体" w:hAnsi="宋体" w:eastAsia="宋体" w:cs="宋体"/>
                <w:kern w:val="0"/>
                <w:sz w:val="22"/>
                <w:szCs w:val="22"/>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20</w:t>
            </w:r>
          </w:p>
        </w:tc>
        <w:tc>
          <w:tcPr>
            <w:tcW w:w="226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eastAsia" w:ascii="宋体" w:hAnsi="宋体" w:eastAsia="宋体" w:cs="宋体"/>
                <w:kern w:val="0"/>
                <w:sz w:val="22"/>
                <w:szCs w:val="22"/>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keepNext w:val="0"/>
              <w:keepLines w:val="0"/>
              <w:pageBreakBefore w:val="0"/>
              <w:widowControl/>
              <w:suppressLineNumbers w:val="0"/>
              <w:kinsoku/>
              <w:wordWrap/>
              <w:overflowPunct w:val="0"/>
              <w:topLinePunct w:val="0"/>
              <w:bidi w:val="0"/>
              <w:ind w:firstLine="440" w:firstLineChars="200"/>
              <w:jc w:val="left"/>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履职效果</w:t>
            </w:r>
          </w:p>
        </w:tc>
        <w:tc>
          <w:tcPr>
            <w:tcW w:w="167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56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default" w:ascii="宋体" w:hAnsi="宋体" w:eastAsia="宋体" w:cs="宋体"/>
                <w:kern w:val="0"/>
                <w:sz w:val="22"/>
                <w:szCs w:val="22"/>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50</w:t>
            </w:r>
          </w:p>
        </w:tc>
        <w:tc>
          <w:tcPr>
            <w:tcW w:w="226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eastAsia" w:ascii="宋体" w:hAnsi="宋体" w:eastAsia="宋体" w:cs="宋体"/>
                <w:kern w:val="0"/>
                <w:sz w:val="22"/>
                <w:szCs w:val="22"/>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keepNext w:val="0"/>
              <w:keepLines w:val="0"/>
              <w:pageBreakBefore w:val="0"/>
              <w:widowControl/>
              <w:suppressLineNumbers w:val="0"/>
              <w:kinsoku/>
              <w:wordWrap/>
              <w:overflowPunct w:val="0"/>
              <w:topLinePunct w:val="0"/>
              <w:bidi w:val="0"/>
              <w:ind w:firstLine="440" w:firstLineChars="200"/>
              <w:jc w:val="left"/>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能力建设</w:t>
            </w:r>
          </w:p>
        </w:tc>
        <w:tc>
          <w:tcPr>
            <w:tcW w:w="167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56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default" w:ascii="宋体" w:hAnsi="宋体" w:eastAsia="宋体" w:cs="宋体"/>
                <w:kern w:val="0"/>
                <w:sz w:val="22"/>
                <w:szCs w:val="22"/>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10</w:t>
            </w:r>
          </w:p>
        </w:tc>
        <w:tc>
          <w:tcPr>
            <w:tcW w:w="226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eastAsia" w:ascii="宋体" w:hAnsi="宋体" w:eastAsia="宋体" w:cs="宋体"/>
                <w:kern w:val="0"/>
                <w:sz w:val="22"/>
                <w:szCs w:val="22"/>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keepNext w:val="0"/>
              <w:keepLines w:val="0"/>
              <w:pageBreakBefore w:val="0"/>
              <w:widowControl/>
              <w:suppressLineNumbers w:val="0"/>
              <w:kinsoku/>
              <w:wordWrap/>
              <w:overflowPunct w:val="0"/>
              <w:topLinePunct w:val="0"/>
              <w:bidi w:val="0"/>
              <w:ind w:firstLine="440" w:firstLineChars="200"/>
              <w:jc w:val="left"/>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服务对象满意度</w:t>
            </w:r>
          </w:p>
        </w:tc>
        <w:tc>
          <w:tcPr>
            <w:tcW w:w="167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56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kern w:val="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226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eastAsia" w:ascii="宋体" w:hAnsi="宋体" w:eastAsia="宋体" w:cs="宋体"/>
                <w:kern w:val="0"/>
                <w:sz w:val="22"/>
                <w:szCs w:val="22"/>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1678"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100</w:t>
            </w:r>
          </w:p>
        </w:tc>
        <w:tc>
          <w:tcPr>
            <w:tcW w:w="1560"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hint="default" w:ascii="宋体" w:hAnsi="宋体" w:eastAsia="宋体" w:cs="宋体"/>
                <w:b/>
                <w:color w:val="000000"/>
                <w:kern w:val="0"/>
                <w:sz w:val="22"/>
                <w:szCs w:val="22"/>
                <w:highlight w:val="none"/>
                <w:lang w:val="en-US" w:eastAsia="zh-CN"/>
              </w:rPr>
            </w:pPr>
            <w:r>
              <w:rPr>
                <w:rFonts w:hint="eastAsia" w:ascii="宋体" w:hAnsi="宋体" w:eastAsia="宋体" w:cs="宋体"/>
                <w:b/>
                <w:bCs/>
                <w:i w:val="0"/>
                <w:iCs w:val="0"/>
                <w:color w:val="000000"/>
                <w:kern w:val="0"/>
                <w:sz w:val="22"/>
                <w:szCs w:val="22"/>
                <w:highlight w:val="none"/>
                <w:u w:val="none"/>
                <w:lang w:val="en-US" w:eastAsia="zh-CN" w:bidi="ar"/>
              </w:rPr>
              <w:t>99.9</w:t>
            </w:r>
          </w:p>
        </w:tc>
        <w:tc>
          <w:tcPr>
            <w:tcW w:w="2268"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hint="eastAsia" w:ascii="宋体" w:hAnsi="宋体" w:eastAsia="宋体" w:cs="宋体"/>
                <w:kern w:val="0"/>
                <w:sz w:val="22"/>
                <w:szCs w:val="22"/>
                <w:highlight w:val="none"/>
                <w:lang w:val="en-US" w:eastAsia="zh-CN"/>
              </w:rPr>
            </w:pPr>
            <w:r>
              <w:rPr>
                <w:rFonts w:hint="eastAsia" w:ascii="宋体" w:hAnsi="宋体" w:eastAsia="宋体" w:cs="宋体"/>
                <w:b/>
                <w:bCs/>
                <w:i w:val="0"/>
                <w:iCs w:val="0"/>
                <w:color w:val="000000"/>
                <w:kern w:val="0"/>
                <w:sz w:val="22"/>
                <w:szCs w:val="22"/>
                <w:highlight w:val="none"/>
                <w:u w:val="none"/>
                <w:lang w:val="en-US" w:eastAsia="zh-CN" w:bidi="ar"/>
              </w:rPr>
              <w:t>99.9%</w:t>
            </w:r>
          </w:p>
        </w:tc>
      </w:tr>
    </w:tbl>
    <w:p>
      <w:pPr>
        <w:keepNext/>
        <w:keepLines/>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Times New Roman" w:eastAsia="仿宋_GB2312"/>
          <w:b/>
          <w:bCs/>
          <w:sz w:val="32"/>
          <w:lang w:eastAsia="zh-CN"/>
        </w:rPr>
      </w:pPr>
      <w:r>
        <w:rPr>
          <w:rFonts w:hint="eastAsia" w:ascii="Times New Roman" w:eastAsia="仿宋_GB2312"/>
          <w:sz w:val="32"/>
          <w:highlight w:val="none"/>
          <w:lang w:val="en-US" w:eastAsia="zh-CN"/>
        </w:rPr>
        <w:t>2022年主要工作成果及总体绩效目标完成情况</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Times New Roman" w:hAnsi="仿宋_GB2312" w:eastAsia="仿宋_GB2312" w:cs="仿宋_GB2312"/>
          <w:sz w:val="32"/>
          <w:lang w:val="en-US" w:eastAsia="zh-CN"/>
        </w:rPr>
      </w:pPr>
      <w:bookmarkStart w:id="58" w:name="_Toc7799"/>
      <w:bookmarkStart w:id="59" w:name="_Toc18553"/>
      <w:bookmarkStart w:id="60" w:name="_Toc17819"/>
      <w:r>
        <w:rPr>
          <w:rFonts w:hint="eastAsia" w:ascii="Times New Roman" w:hAnsi="仿宋_GB2312" w:eastAsia="仿宋_GB2312" w:cs="仿宋_GB2312"/>
          <w:sz w:val="32"/>
          <w:lang w:val="en-US" w:eastAsia="zh-CN"/>
        </w:rPr>
        <w:t>目标一：坚持从严治院，打造高素质法院队伍。</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eastAsia" w:ascii="Times New Roman" w:hAnsi="仿宋_GB2312" w:eastAsia="仿宋_GB2312" w:cs="仿宋_GB2312"/>
          <w:sz w:val="32"/>
          <w:lang w:val="en-US" w:eastAsia="zh-CN"/>
        </w:rPr>
      </w:pPr>
      <w:r>
        <w:rPr>
          <w:rFonts w:hint="eastAsia" w:ascii="Times New Roman" w:hAnsi="仿宋_GB2312" w:eastAsia="仿宋_GB2312" w:cs="仿宋_GB2312"/>
          <w:sz w:val="32"/>
          <w:lang w:val="en-US" w:eastAsia="zh-CN"/>
        </w:rPr>
        <w:t>目标二：狠抓执法办案第一要务，着力提升司法服务效能，各项工作取得新的进展，呈现“三个新突破、七个新提升”新格局。</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eastAsia" w:ascii="Times New Roman" w:hAnsi="仿宋_GB2312" w:eastAsia="仿宋_GB2312" w:cs="仿宋_GB2312"/>
          <w:sz w:val="32"/>
          <w:lang w:val="en-US" w:eastAsia="zh-CN"/>
        </w:rPr>
      </w:pPr>
      <w:r>
        <w:rPr>
          <w:rFonts w:hint="eastAsia" w:ascii="Times New Roman" w:hAnsi="仿宋_GB2312" w:eastAsia="仿宋_GB2312" w:cs="仿宋_GB2312"/>
          <w:sz w:val="32"/>
          <w:lang w:val="en-US" w:eastAsia="zh-CN"/>
        </w:rPr>
        <w:t>目标三：多元解纷实现新突破。全面优化智慧法院资源配置，为当事人提供优质高效便捷的一站式诉讼服务。</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eastAsia" w:ascii="Times New Roman" w:hAnsi="仿宋_GB2312" w:eastAsia="仿宋_GB2312" w:cs="仿宋_GB2312"/>
          <w:sz w:val="32"/>
          <w:lang w:val="en-US" w:eastAsia="zh-CN"/>
        </w:rPr>
      </w:pPr>
      <w:r>
        <w:rPr>
          <w:rFonts w:hint="eastAsia" w:ascii="Times New Roman" w:hAnsi="仿宋_GB2312" w:eastAsia="仿宋_GB2312" w:cs="仿宋_GB2312"/>
          <w:sz w:val="32"/>
          <w:lang w:val="en-US" w:eastAsia="zh-CN"/>
        </w:rPr>
        <w:t>目标四：推进优化法治营商环境。将“人人都是营商环境、案案都是检验标准”理念贯穿到法院工作的各个方面，努力营造法治化营商环境。</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eastAsia" w:ascii="Times New Roman" w:hAnsi="仿宋_GB2312" w:eastAsia="仿宋_GB2312" w:cs="仿宋_GB2312"/>
          <w:sz w:val="32"/>
          <w:lang w:val="en-US" w:eastAsia="zh-CN"/>
        </w:rPr>
      </w:pPr>
      <w:r>
        <w:rPr>
          <w:rFonts w:hint="eastAsia" w:ascii="Times New Roman" w:hAnsi="仿宋_GB2312" w:eastAsia="仿宋_GB2312" w:cs="仿宋_GB2312"/>
          <w:sz w:val="32"/>
          <w:lang w:val="en-US" w:eastAsia="zh-CN"/>
        </w:rPr>
        <w:t>目标一完成情况：召开党组理论中心组学习会14次，开展“主题党日”活动12次，全院集中学习60余次。严格落实意识形态工作责任制，牢牢掌握意识形态工作领导权。定期召开党组会议，专题研究意识形态工作，切实把社会主义核心价值观理念贯彻到审判执行和队伍建设的各个方面。</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eastAsia" w:ascii="Times New Roman" w:hAnsi="仿宋_GB2312" w:eastAsia="仿宋_GB2312" w:cs="仿宋_GB2312"/>
          <w:sz w:val="32"/>
          <w:lang w:val="en-US" w:eastAsia="zh-CN"/>
        </w:rPr>
      </w:pPr>
      <w:r>
        <w:rPr>
          <w:rFonts w:hint="eastAsia" w:ascii="Times New Roman" w:hAnsi="仿宋_GB2312" w:eastAsia="仿宋_GB2312" w:cs="仿宋_GB2312"/>
          <w:sz w:val="32"/>
          <w:lang w:val="en-US" w:eastAsia="zh-CN"/>
        </w:rPr>
        <w:t>目标二完成情况：全年共受理各类案件3770件，审执结3503件，结案率92.91%，法定审限内结案率100%，法定审限内结案率100%。</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eastAsia" w:ascii="Times New Roman" w:hAnsi="仿宋_GB2312" w:eastAsia="仿宋_GB2312" w:cs="仿宋_GB2312"/>
          <w:sz w:val="32"/>
          <w:lang w:val="en-US" w:eastAsia="zh-CN"/>
        </w:rPr>
      </w:pPr>
      <w:r>
        <w:rPr>
          <w:rFonts w:hint="eastAsia" w:ascii="Times New Roman" w:hAnsi="仿宋_GB2312" w:eastAsia="仿宋_GB2312" w:cs="仿宋_GB2312"/>
          <w:sz w:val="32"/>
          <w:lang w:val="en-US" w:eastAsia="zh-CN"/>
        </w:rPr>
        <w:t>目标三完成情况：网上审查立案336件，诉讼费网上交费率达82%、电子卷宗随案生成率100%。跨域立案1件，电子送达1143件，通过人民法院委托鉴定平台办理司法鉴定评估79件，接听12368司法服务热线168人次。</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eastAsia" w:ascii="Times New Roman" w:hAnsi="仿宋_GB2312" w:eastAsia="仿宋_GB2312" w:cs="仿宋_GB2312"/>
          <w:sz w:val="32"/>
          <w:lang w:val="en-US" w:eastAsia="zh-CN"/>
        </w:rPr>
      </w:pPr>
      <w:r>
        <w:rPr>
          <w:rFonts w:hint="eastAsia" w:ascii="Times New Roman" w:hAnsi="仿宋_GB2312" w:eastAsia="仿宋_GB2312" w:cs="仿宋_GB2312"/>
          <w:sz w:val="32"/>
          <w:lang w:val="en-US" w:eastAsia="zh-CN"/>
        </w:rPr>
        <w:t>目标四</w:t>
      </w:r>
      <w:r>
        <w:rPr>
          <w:rFonts w:hint="eastAsia" w:ascii="Times New Roman" w:eastAsia="仿宋_GB2312" w:cs="仿宋_GB2312"/>
          <w:sz w:val="32"/>
          <w:lang w:val="en-US" w:eastAsia="zh-CN"/>
        </w:rPr>
        <w:t>完成情况</w:t>
      </w:r>
      <w:r>
        <w:rPr>
          <w:rFonts w:hint="eastAsia" w:ascii="Times New Roman" w:hAnsi="仿宋_GB2312" w:eastAsia="仿宋_GB2312" w:cs="仿宋_GB2312"/>
          <w:sz w:val="32"/>
          <w:lang w:val="en-US" w:eastAsia="zh-CN"/>
        </w:rPr>
        <w:t>：2022年，</w:t>
      </w:r>
      <w:r>
        <w:rPr>
          <w:rFonts w:hint="eastAsia" w:ascii="Times New Roman" w:cs="仿宋_GB2312"/>
          <w:sz w:val="32"/>
          <w:lang w:val="en-US" w:eastAsia="zh-CN"/>
        </w:rPr>
        <w:t>我院</w:t>
      </w:r>
      <w:r>
        <w:rPr>
          <w:rFonts w:hint="eastAsia" w:ascii="Times New Roman" w:hAnsi="仿宋_GB2312" w:eastAsia="仿宋_GB2312" w:cs="仿宋_GB2312"/>
          <w:sz w:val="32"/>
          <w:lang w:val="en-US" w:eastAsia="zh-CN"/>
        </w:rPr>
        <w:t>共上门走访企业15家，召开企业家座谈会23次，办理涉企业案件567件，为企业健康发展提供切实高效的司法服务。</w:t>
      </w:r>
    </w:p>
    <w:p>
      <w:pPr>
        <w:pStyle w:val="4"/>
        <w:pageBreakBefore w:val="0"/>
        <w:kinsoku/>
        <w:wordWrap/>
        <w:overflowPunct w:val="0"/>
        <w:topLinePunct w:val="0"/>
        <w:bidi w:val="0"/>
        <w:snapToGrid/>
        <w:spacing w:before="0" w:beforeAutospacing="0" w:after="0" w:afterAutospacing="0" w:line="560" w:lineRule="exact"/>
        <w:ind w:left="0" w:leftChars="0" w:right="0" w:rightChars="0" w:firstLine="643" w:firstLineChars="200"/>
        <w:jc w:val="both"/>
        <w:outlineLvl w:val="1"/>
        <w:rPr>
          <w:rFonts w:hint="eastAsia" w:ascii="Arial" w:eastAsia="楷体"/>
          <w:b/>
          <w:sz w:val="32"/>
        </w:rPr>
      </w:pPr>
      <w:bookmarkStart w:id="61" w:name="_Toc3470"/>
      <w:r>
        <w:rPr>
          <w:rFonts w:hint="eastAsia" w:ascii="Arial" w:eastAsia="楷体"/>
          <w:b/>
          <w:sz w:val="32"/>
        </w:rPr>
        <w:t>（三）各项指标完成情况分析</w:t>
      </w:r>
      <w:bookmarkEnd w:id="58"/>
      <w:bookmarkEnd w:id="59"/>
      <w:bookmarkEnd w:id="60"/>
      <w:bookmarkEnd w:id="61"/>
    </w:p>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hint="default" w:ascii="Times New Roman" w:eastAsia="仿宋_GB2312"/>
          <w:b/>
          <w:sz w:val="32"/>
          <w:lang w:val="en-US" w:eastAsia="zh-CN"/>
        </w:rPr>
      </w:pPr>
      <w:r>
        <w:rPr>
          <w:rFonts w:ascii="Times New Roman" w:eastAsia="仿宋_GB2312"/>
          <w:b/>
          <w:sz w:val="32"/>
        </w:rPr>
        <w:t>1</w:t>
      </w:r>
      <w:r>
        <w:rPr>
          <w:rFonts w:hint="eastAsia" w:ascii="Times New Roman" w:eastAsia="仿宋_GB2312"/>
          <w:b/>
          <w:sz w:val="32"/>
          <w:lang w:eastAsia="zh-CN"/>
        </w:rPr>
        <w:t>.</w:t>
      </w:r>
      <w:r>
        <w:rPr>
          <w:rFonts w:hint="eastAsia" w:ascii="Times New Roman" w:eastAsia="仿宋_GB2312"/>
          <w:b/>
          <w:sz w:val="32"/>
          <w:lang w:val="en-US" w:eastAsia="zh-CN"/>
        </w:rPr>
        <w:t>部门整体支出</w:t>
      </w:r>
      <w:r>
        <w:rPr>
          <w:rFonts w:ascii="Times New Roman" w:eastAsia="仿宋_GB2312"/>
          <w:b/>
          <w:sz w:val="32"/>
        </w:rPr>
        <w:t>预算执行率</w:t>
      </w:r>
      <w:r>
        <w:rPr>
          <w:rFonts w:hint="eastAsia" w:ascii="Times New Roman" w:eastAsia="仿宋_GB2312"/>
          <w:b/>
          <w:sz w:val="32"/>
          <w:lang w:val="en-US" w:eastAsia="zh-CN"/>
        </w:rPr>
        <w:t>完成情况分析</w:t>
      </w:r>
    </w:p>
    <w:p>
      <w:pPr>
        <w:pageBreakBefore w:val="0"/>
        <w:kinsoku/>
        <w:wordWrap/>
        <w:overflowPunct w:val="0"/>
        <w:topLinePunct w:val="0"/>
        <w:bidi w:val="0"/>
        <w:snapToGrid/>
        <w:spacing w:beforeAutospacing="0" w:afterAutospacing="0" w:line="560" w:lineRule="exact"/>
        <w:ind w:left="0" w:leftChars="0" w:firstLine="640" w:firstLineChars="200"/>
        <w:rPr>
          <w:rFonts w:hint="default" w:ascii="Times New Roman" w:eastAsia="仿宋_GB2312"/>
          <w:sz w:val="32"/>
          <w:highlight w:val="none"/>
          <w:lang w:val="en-US" w:eastAsia="zh-CN"/>
        </w:rPr>
      </w:pPr>
      <w:r>
        <w:rPr>
          <w:rFonts w:hint="eastAsia" w:ascii="Times New Roman" w:hAnsi="宋体" w:eastAsia="仿宋_GB2312"/>
          <w:sz w:val="32"/>
          <w:szCs w:val="28"/>
          <w:highlight w:val="none"/>
        </w:rPr>
        <w:t>我院</w:t>
      </w:r>
      <w:r>
        <w:rPr>
          <w:rFonts w:hint="eastAsia" w:ascii="Times New Roman" w:eastAsia="仿宋_GB2312"/>
          <w:sz w:val="32"/>
          <w:highlight w:val="none"/>
          <w:lang w:val="en-US" w:eastAsia="zh-CN"/>
        </w:rPr>
        <w:t>2022年度共收到省级公共预算财政拨款收入2,193.55万元</w:t>
      </w:r>
      <w:r>
        <w:rPr>
          <w:rFonts w:hint="eastAsia" w:ascii="Times New Roman"/>
          <w:sz w:val="32"/>
          <w:highlight w:val="none"/>
          <w:lang w:val="en-US" w:eastAsia="zh-CN"/>
        </w:rPr>
        <w:t>，</w:t>
      </w:r>
      <w:r>
        <w:rPr>
          <w:rFonts w:hint="eastAsia" w:ascii="Times New Roman" w:eastAsia="仿宋_GB2312"/>
          <w:sz w:val="32"/>
          <w:highlight w:val="none"/>
          <w:lang w:val="en-US" w:eastAsia="zh-CN"/>
        </w:rPr>
        <w:t>2021年结转52.89万元，本年度可用经费共2,246.44万</w:t>
      </w:r>
      <w:bookmarkStart w:id="117" w:name="_GoBack"/>
      <w:bookmarkEnd w:id="117"/>
      <w:r>
        <w:rPr>
          <w:rFonts w:hint="eastAsia" w:ascii="Times New Roman" w:eastAsia="仿宋_GB2312"/>
          <w:sz w:val="32"/>
          <w:highlight w:val="none"/>
          <w:lang w:val="en-US" w:eastAsia="zh-CN"/>
        </w:rPr>
        <w:t>元。2022年度，共支出各类经费2,224.16万元</w:t>
      </w:r>
      <w:r>
        <w:rPr>
          <w:rFonts w:hint="eastAsia" w:ascii="Times New Roman"/>
          <w:sz w:val="32"/>
          <w:highlight w:val="none"/>
          <w:lang w:val="en-US" w:eastAsia="zh-CN"/>
        </w:rPr>
        <w:t>，</w:t>
      </w:r>
      <w:r>
        <w:rPr>
          <w:rFonts w:hint="eastAsia" w:ascii="Times New Roman" w:eastAsia="仿宋_GB2312"/>
          <w:sz w:val="32"/>
          <w:highlight w:val="none"/>
        </w:rPr>
        <w:t>部门整体支出预算执行率为</w:t>
      </w:r>
      <w:r>
        <w:rPr>
          <w:rFonts w:hint="eastAsia" w:ascii="Times New Roman"/>
          <w:sz w:val="32"/>
          <w:highlight w:val="none"/>
          <w:lang w:val="en-US" w:eastAsia="zh-CN"/>
        </w:rPr>
        <w:t>99.01</w:t>
      </w:r>
      <w:r>
        <w:rPr>
          <w:rFonts w:hint="eastAsia" w:ascii="Times New Roman" w:eastAsia="仿宋_GB2312"/>
          <w:sz w:val="32"/>
          <w:highlight w:val="none"/>
          <w:lang w:val="en-US" w:eastAsia="zh-CN"/>
        </w:rPr>
        <w:t>%。</w:t>
      </w:r>
    </w:p>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hint="default" w:ascii="Times New Roman" w:eastAsia="仿宋_GB2312"/>
          <w:b/>
          <w:sz w:val="32"/>
          <w:lang w:val="en-US" w:eastAsia="zh-CN"/>
        </w:rPr>
      </w:pPr>
      <w:r>
        <w:rPr>
          <w:rFonts w:ascii="Times New Roman" w:eastAsia="仿宋_GB2312"/>
          <w:b/>
          <w:sz w:val="32"/>
        </w:rPr>
        <w:t>2</w:t>
      </w:r>
      <w:r>
        <w:rPr>
          <w:rFonts w:hint="eastAsia" w:ascii="Times New Roman" w:eastAsia="仿宋_GB2312"/>
          <w:b/>
          <w:sz w:val="32"/>
          <w:lang w:eastAsia="zh-CN"/>
        </w:rPr>
        <w:t>.</w:t>
      </w:r>
      <w:r>
        <w:rPr>
          <w:rFonts w:ascii="Times New Roman" w:eastAsia="仿宋_GB2312"/>
          <w:b/>
          <w:sz w:val="32"/>
        </w:rPr>
        <w:t>部门管理</w:t>
      </w:r>
      <w:r>
        <w:rPr>
          <w:rFonts w:hint="eastAsia" w:ascii="Times New Roman" w:eastAsia="仿宋_GB2312"/>
          <w:b/>
          <w:sz w:val="32"/>
          <w:lang w:val="en-US" w:eastAsia="zh-CN"/>
        </w:rPr>
        <w:t>目标完成情况分析</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lang w:val="en-US" w:eastAsia="zh-CN"/>
        </w:rPr>
      </w:pPr>
      <w:r>
        <w:rPr>
          <w:rFonts w:hint="eastAsia" w:ascii="Times New Roman" w:eastAsia="仿宋_GB2312"/>
          <w:sz w:val="32"/>
          <w:highlight w:val="none"/>
        </w:rPr>
        <w:t>部门管理指标包括资金投入、财务管理、采购管理、资产管理、人员管理、重点工作管理六个二级指标，下设10个三级指标。指标分值20分，自评</w:t>
      </w:r>
      <w:r>
        <w:rPr>
          <w:rFonts w:ascii="Times New Roman" w:eastAsia="仿宋_GB2312"/>
          <w:sz w:val="32"/>
          <w:highlight w:val="none"/>
        </w:rPr>
        <w:t>得</w:t>
      </w:r>
      <w:r>
        <w:rPr>
          <w:rFonts w:hint="eastAsia" w:ascii="Times New Roman" w:eastAsia="仿宋_GB2312"/>
          <w:sz w:val="32"/>
          <w:highlight w:val="none"/>
        </w:rPr>
        <w:t>分</w:t>
      </w:r>
      <w:r>
        <w:rPr>
          <w:rFonts w:hint="eastAsia" w:ascii="Times New Roman" w:eastAsia="仿宋_GB2312"/>
          <w:sz w:val="32"/>
          <w:highlight w:val="none"/>
          <w:lang w:val="en-US" w:eastAsia="zh-CN"/>
        </w:rPr>
        <w:t>20</w:t>
      </w:r>
      <w:r>
        <w:rPr>
          <w:rFonts w:hint="eastAsia" w:ascii="Times New Roman" w:eastAsia="仿宋_GB2312"/>
          <w:sz w:val="32"/>
          <w:highlight w:val="none"/>
        </w:rPr>
        <w:t>分，得分率</w:t>
      </w:r>
      <w:r>
        <w:rPr>
          <w:rFonts w:hint="eastAsia" w:ascii="Times New Roman"/>
          <w:sz w:val="32"/>
          <w:highlight w:val="none"/>
          <w:lang w:val="en-US" w:eastAsia="zh-CN"/>
        </w:rPr>
        <w:t>为</w:t>
      </w:r>
      <w:r>
        <w:rPr>
          <w:rFonts w:hint="eastAsia" w:ascii="Times New Roman" w:eastAsia="仿宋_GB2312"/>
          <w:sz w:val="32"/>
          <w:highlight w:val="none"/>
          <w:lang w:val="en-US" w:eastAsia="zh-CN"/>
        </w:rPr>
        <w:t>100</w:t>
      </w:r>
      <w:r>
        <w:rPr>
          <w:rFonts w:hint="eastAsia" w:ascii="Times New Roman" w:eastAsia="仿宋_GB2312"/>
          <w:sz w:val="32"/>
          <w:highlight w:val="none"/>
        </w:rPr>
        <w:t>%。</w:t>
      </w:r>
      <w:r>
        <w:rPr>
          <w:rFonts w:hint="eastAsia" w:ascii="Times New Roman" w:eastAsia="仿宋_GB2312"/>
          <w:sz w:val="32"/>
          <w:lang w:val="en-US" w:eastAsia="zh-CN"/>
        </w:rPr>
        <w:t>具体如下表：</w:t>
      </w:r>
    </w:p>
    <w:tbl>
      <w:tblPr>
        <w:tblStyle w:val="21"/>
        <w:tblW w:w="8755"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823"/>
        <w:gridCol w:w="1530"/>
        <w:gridCol w:w="1418"/>
        <w:gridCol w:w="198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3823" w:type="dxa"/>
            <w:shd w:val="clear" w:color="auto" w:fill="BDD6EE"/>
            <w:vAlign w:val="center"/>
          </w:tcPr>
          <w:p>
            <w:pPr>
              <w:keepNext w:val="0"/>
              <w:keepLines w:val="0"/>
              <w:pageBreakBefore w:val="0"/>
              <w:widowControl/>
              <w:suppressLineNumbers w:val="0"/>
              <w:kinsoku/>
              <w:wordWrap/>
              <w:overflowPunct w:val="0"/>
              <w:topLinePunct w:val="0"/>
              <w:bidi w:val="0"/>
              <w:ind w:firstLine="482" w:firstLineChars="200"/>
              <w:jc w:val="center"/>
              <w:textAlignment w:val="center"/>
              <w:rPr>
                <w:rFonts w:ascii="宋体" w:hAnsi="宋体" w:cs="宋体"/>
                <w:b/>
                <w:color w:val="000000"/>
                <w:kern w:val="0"/>
                <w:sz w:val="24"/>
                <w:highlight w:val="none"/>
              </w:rPr>
            </w:pPr>
            <w:r>
              <w:rPr>
                <w:rFonts w:hint="eastAsia" w:ascii="仿宋_GB2312" w:hAnsi="宋体" w:eastAsia="仿宋_GB2312" w:cs="仿宋_GB2312"/>
                <w:b/>
                <w:bCs/>
                <w:i w:val="0"/>
                <w:iCs w:val="0"/>
                <w:color w:val="000000"/>
                <w:kern w:val="0"/>
                <w:sz w:val="24"/>
                <w:szCs w:val="24"/>
                <w:u w:val="none"/>
                <w:lang w:val="en-US" w:eastAsia="zh-CN" w:bidi="ar"/>
              </w:rPr>
              <w:t>二级指标</w:t>
            </w:r>
          </w:p>
        </w:tc>
        <w:tc>
          <w:tcPr>
            <w:tcW w:w="1530" w:type="dxa"/>
            <w:shd w:val="clear" w:color="auto" w:fill="BDD6EE"/>
            <w:vAlign w:val="center"/>
          </w:tcPr>
          <w:p>
            <w:pPr>
              <w:keepNext w:val="0"/>
              <w:keepLines w:val="0"/>
              <w:pageBreakBefore w:val="0"/>
              <w:widowControl/>
              <w:suppressLineNumbers w:val="0"/>
              <w:kinsoku/>
              <w:wordWrap/>
              <w:overflowPunct w:val="0"/>
              <w:topLinePunct w:val="0"/>
              <w:bidi w:val="0"/>
              <w:ind w:firstLine="482" w:firstLineChars="200"/>
              <w:jc w:val="center"/>
              <w:textAlignment w:val="center"/>
              <w:rPr>
                <w:rFonts w:ascii="宋体" w:hAnsi="宋体" w:cs="宋体"/>
                <w:b/>
                <w:color w:val="000000"/>
                <w:kern w:val="0"/>
                <w:sz w:val="24"/>
                <w:highlight w:val="none"/>
              </w:rPr>
            </w:pPr>
            <w:r>
              <w:rPr>
                <w:rFonts w:hint="eastAsia" w:ascii="仿宋_GB2312" w:hAnsi="宋体" w:eastAsia="仿宋_GB2312" w:cs="仿宋_GB2312"/>
                <w:b/>
                <w:bCs/>
                <w:i w:val="0"/>
                <w:iCs w:val="0"/>
                <w:color w:val="000000"/>
                <w:kern w:val="0"/>
                <w:sz w:val="24"/>
                <w:szCs w:val="24"/>
                <w:u w:val="none"/>
                <w:lang w:val="en-US" w:eastAsia="zh-CN" w:bidi="ar"/>
              </w:rPr>
              <w:t>分值</w:t>
            </w:r>
          </w:p>
        </w:tc>
        <w:tc>
          <w:tcPr>
            <w:tcW w:w="1418" w:type="dxa"/>
            <w:shd w:val="clear" w:color="auto" w:fill="BDD6EE"/>
            <w:vAlign w:val="center"/>
          </w:tcPr>
          <w:p>
            <w:pPr>
              <w:keepNext w:val="0"/>
              <w:keepLines w:val="0"/>
              <w:pageBreakBefore w:val="0"/>
              <w:widowControl/>
              <w:suppressLineNumbers w:val="0"/>
              <w:kinsoku/>
              <w:wordWrap/>
              <w:overflowPunct w:val="0"/>
              <w:topLinePunct w:val="0"/>
              <w:bidi w:val="0"/>
              <w:ind w:left="0" w:leftChars="0" w:firstLine="0" w:firstLineChars="0"/>
              <w:jc w:val="both"/>
              <w:textAlignment w:val="center"/>
              <w:rPr>
                <w:rFonts w:ascii="宋体" w:hAnsi="宋体" w:cs="宋体"/>
                <w:b/>
                <w:color w:val="000000"/>
                <w:kern w:val="0"/>
                <w:sz w:val="24"/>
                <w:highlight w:val="none"/>
              </w:rPr>
            </w:pPr>
            <w:r>
              <w:rPr>
                <w:rFonts w:hint="eastAsia" w:ascii="仿宋_GB2312" w:hAnsi="宋体" w:eastAsia="仿宋_GB2312" w:cs="仿宋_GB2312"/>
                <w:b/>
                <w:bCs/>
                <w:i w:val="0"/>
                <w:iCs w:val="0"/>
                <w:color w:val="000000"/>
                <w:kern w:val="0"/>
                <w:sz w:val="24"/>
                <w:szCs w:val="24"/>
                <w:u w:val="none"/>
                <w:lang w:val="en-US" w:eastAsia="zh-CN" w:bidi="ar"/>
              </w:rPr>
              <w:t>自评得分</w:t>
            </w:r>
          </w:p>
        </w:tc>
        <w:tc>
          <w:tcPr>
            <w:tcW w:w="1984" w:type="dxa"/>
            <w:shd w:val="clear" w:color="auto" w:fill="BDD6EE"/>
            <w:vAlign w:val="center"/>
          </w:tcPr>
          <w:p>
            <w:pPr>
              <w:keepNext w:val="0"/>
              <w:keepLines w:val="0"/>
              <w:pageBreakBefore w:val="0"/>
              <w:widowControl/>
              <w:suppressLineNumbers w:val="0"/>
              <w:kinsoku/>
              <w:wordWrap/>
              <w:overflowPunct w:val="0"/>
              <w:topLinePunct w:val="0"/>
              <w:bidi w:val="0"/>
              <w:ind w:firstLine="482" w:firstLineChars="200"/>
              <w:jc w:val="center"/>
              <w:textAlignment w:val="center"/>
              <w:rPr>
                <w:rFonts w:ascii="宋体" w:hAnsi="宋体" w:cs="宋体"/>
                <w:b/>
                <w:color w:val="000000"/>
                <w:kern w:val="0"/>
                <w:sz w:val="24"/>
                <w:highlight w:val="none"/>
              </w:rPr>
            </w:pPr>
            <w:r>
              <w:rPr>
                <w:rFonts w:hint="eastAsia" w:ascii="仿宋_GB2312" w:hAnsi="宋体" w:eastAsia="仿宋_GB2312" w:cs="仿宋_GB2312"/>
                <w:b/>
                <w:bCs/>
                <w:i w:val="0"/>
                <w:iCs w:val="0"/>
                <w:color w:val="000000"/>
                <w:kern w:val="0"/>
                <w:sz w:val="24"/>
                <w:szCs w:val="24"/>
                <w:u w:val="none"/>
                <w:lang w:val="en-US" w:eastAsia="zh-CN" w:bidi="ar"/>
              </w:rPr>
              <w:t>得分率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3823" w:type="dxa"/>
            <w:vAlign w:val="center"/>
          </w:tcPr>
          <w:p>
            <w:pPr>
              <w:keepNext w:val="0"/>
              <w:keepLines w:val="0"/>
              <w:pageBreakBefore w:val="0"/>
              <w:widowControl/>
              <w:suppressLineNumbers w:val="0"/>
              <w:kinsoku/>
              <w:wordWrap/>
              <w:overflowPunct w:val="0"/>
              <w:topLinePunct w:val="0"/>
              <w:bidi w:val="0"/>
              <w:ind w:firstLine="480" w:firstLineChars="200"/>
              <w:jc w:val="left"/>
              <w:textAlignment w:val="center"/>
              <w:rPr>
                <w:rFonts w:hAnsi="宋体" w:cs="宋体"/>
                <w:color w:val="000000"/>
                <w:kern w:val="0"/>
                <w:sz w:val="24"/>
                <w:szCs w:val="28"/>
                <w:highlight w:val="none"/>
              </w:rPr>
            </w:pPr>
            <w:r>
              <w:rPr>
                <w:rFonts w:hint="eastAsia" w:ascii="仿宋_GB2312" w:hAnsi="宋体" w:eastAsia="仿宋_GB2312" w:cs="仿宋_GB2312"/>
                <w:i w:val="0"/>
                <w:iCs w:val="0"/>
                <w:color w:val="000000"/>
                <w:kern w:val="0"/>
                <w:sz w:val="24"/>
                <w:szCs w:val="24"/>
                <w:u w:val="none"/>
                <w:lang w:val="en-US" w:eastAsia="zh-CN" w:bidi="ar"/>
              </w:rPr>
              <w:t>资金投入</w:t>
            </w:r>
          </w:p>
        </w:tc>
        <w:tc>
          <w:tcPr>
            <w:tcW w:w="153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8</w:t>
            </w:r>
          </w:p>
        </w:tc>
        <w:tc>
          <w:tcPr>
            <w:tcW w:w="141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8</w:t>
            </w:r>
          </w:p>
        </w:tc>
        <w:tc>
          <w:tcPr>
            <w:tcW w:w="1984"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3823" w:type="dxa"/>
            <w:vAlign w:val="center"/>
          </w:tcPr>
          <w:p>
            <w:pPr>
              <w:keepNext w:val="0"/>
              <w:keepLines w:val="0"/>
              <w:pageBreakBefore w:val="0"/>
              <w:widowControl/>
              <w:suppressLineNumbers w:val="0"/>
              <w:kinsoku/>
              <w:wordWrap/>
              <w:overflowPunct w:val="0"/>
              <w:topLinePunct w:val="0"/>
              <w:bidi w:val="0"/>
              <w:ind w:firstLine="480" w:firstLineChars="200"/>
              <w:jc w:val="left"/>
              <w:textAlignment w:val="center"/>
              <w:rPr>
                <w:rFonts w:hAnsi="宋体" w:cs="宋体"/>
                <w:color w:val="000000"/>
                <w:kern w:val="0"/>
                <w:sz w:val="24"/>
                <w:szCs w:val="28"/>
                <w:highlight w:val="none"/>
              </w:rPr>
            </w:pPr>
            <w:r>
              <w:rPr>
                <w:rFonts w:hint="eastAsia" w:ascii="仿宋_GB2312" w:hAnsi="宋体" w:eastAsia="仿宋_GB2312" w:cs="仿宋_GB2312"/>
                <w:i w:val="0"/>
                <w:iCs w:val="0"/>
                <w:color w:val="000000"/>
                <w:kern w:val="0"/>
                <w:sz w:val="24"/>
                <w:szCs w:val="24"/>
                <w:u w:val="none"/>
                <w:lang w:val="en-US" w:eastAsia="zh-CN" w:bidi="ar"/>
              </w:rPr>
              <w:t>财务管理</w:t>
            </w:r>
          </w:p>
        </w:tc>
        <w:tc>
          <w:tcPr>
            <w:tcW w:w="153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141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1984"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3823" w:type="dxa"/>
            <w:vAlign w:val="center"/>
          </w:tcPr>
          <w:p>
            <w:pPr>
              <w:keepNext w:val="0"/>
              <w:keepLines w:val="0"/>
              <w:pageBreakBefore w:val="0"/>
              <w:widowControl/>
              <w:suppressLineNumbers w:val="0"/>
              <w:kinsoku/>
              <w:wordWrap/>
              <w:overflowPunct w:val="0"/>
              <w:topLinePunct w:val="0"/>
              <w:bidi w:val="0"/>
              <w:ind w:firstLine="480" w:firstLineChars="200"/>
              <w:jc w:val="left"/>
              <w:textAlignment w:val="center"/>
              <w:rPr>
                <w:rFonts w:hAnsi="宋体" w:cs="宋体"/>
                <w:color w:val="000000"/>
                <w:kern w:val="0"/>
                <w:sz w:val="24"/>
                <w:szCs w:val="28"/>
                <w:highlight w:val="none"/>
              </w:rPr>
            </w:pPr>
            <w:r>
              <w:rPr>
                <w:rFonts w:hint="eastAsia" w:ascii="仿宋_GB2312" w:hAnsi="宋体" w:eastAsia="仿宋_GB2312" w:cs="仿宋_GB2312"/>
                <w:i w:val="0"/>
                <w:iCs w:val="0"/>
                <w:color w:val="000000"/>
                <w:kern w:val="0"/>
                <w:sz w:val="24"/>
                <w:szCs w:val="24"/>
                <w:u w:val="none"/>
                <w:lang w:val="en-US" w:eastAsia="zh-CN" w:bidi="ar"/>
              </w:rPr>
              <w:t>采购管理</w:t>
            </w:r>
          </w:p>
        </w:tc>
        <w:tc>
          <w:tcPr>
            <w:tcW w:w="153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141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2</w:t>
            </w:r>
          </w:p>
        </w:tc>
        <w:tc>
          <w:tcPr>
            <w:tcW w:w="1984"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3823" w:type="dxa"/>
            <w:vAlign w:val="center"/>
          </w:tcPr>
          <w:p>
            <w:pPr>
              <w:keepNext w:val="0"/>
              <w:keepLines w:val="0"/>
              <w:pageBreakBefore w:val="0"/>
              <w:widowControl/>
              <w:suppressLineNumbers w:val="0"/>
              <w:kinsoku/>
              <w:wordWrap/>
              <w:overflowPunct w:val="0"/>
              <w:topLinePunct w:val="0"/>
              <w:bidi w:val="0"/>
              <w:ind w:firstLine="480" w:firstLineChars="200"/>
              <w:jc w:val="left"/>
              <w:textAlignment w:val="center"/>
              <w:rPr>
                <w:rFonts w:hAnsi="宋体" w:cs="宋体"/>
                <w:color w:val="000000"/>
                <w:kern w:val="0"/>
                <w:sz w:val="24"/>
                <w:szCs w:val="28"/>
                <w:highlight w:val="none"/>
              </w:rPr>
            </w:pPr>
            <w:r>
              <w:rPr>
                <w:rFonts w:hint="eastAsia" w:ascii="仿宋_GB2312" w:hAnsi="宋体" w:eastAsia="仿宋_GB2312" w:cs="仿宋_GB2312"/>
                <w:i w:val="0"/>
                <w:iCs w:val="0"/>
                <w:color w:val="000000"/>
                <w:kern w:val="0"/>
                <w:sz w:val="24"/>
                <w:szCs w:val="24"/>
                <w:u w:val="none"/>
                <w:lang w:val="en-US" w:eastAsia="zh-CN" w:bidi="ar"/>
              </w:rPr>
              <w:t>资产管理</w:t>
            </w:r>
          </w:p>
        </w:tc>
        <w:tc>
          <w:tcPr>
            <w:tcW w:w="153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2</w:t>
            </w:r>
          </w:p>
        </w:tc>
        <w:tc>
          <w:tcPr>
            <w:tcW w:w="141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2</w:t>
            </w:r>
          </w:p>
        </w:tc>
        <w:tc>
          <w:tcPr>
            <w:tcW w:w="1984"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3823" w:type="dxa"/>
            <w:vAlign w:val="center"/>
          </w:tcPr>
          <w:p>
            <w:pPr>
              <w:keepNext w:val="0"/>
              <w:keepLines w:val="0"/>
              <w:pageBreakBefore w:val="0"/>
              <w:widowControl/>
              <w:suppressLineNumbers w:val="0"/>
              <w:kinsoku/>
              <w:wordWrap/>
              <w:overflowPunct w:val="0"/>
              <w:topLinePunct w:val="0"/>
              <w:bidi w:val="0"/>
              <w:ind w:firstLine="480" w:firstLineChars="200"/>
              <w:jc w:val="left"/>
              <w:textAlignment w:val="center"/>
              <w:rPr>
                <w:rFonts w:hAnsi="宋体" w:cs="宋体"/>
                <w:color w:val="000000"/>
                <w:kern w:val="0"/>
                <w:sz w:val="24"/>
                <w:szCs w:val="28"/>
                <w:highlight w:val="none"/>
              </w:rPr>
            </w:pPr>
            <w:r>
              <w:rPr>
                <w:rFonts w:hint="eastAsia" w:ascii="仿宋_GB2312" w:hAnsi="宋体" w:eastAsia="仿宋_GB2312" w:cs="仿宋_GB2312"/>
                <w:i w:val="0"/>
                <w:iCs w:val="0"/>
                <w:color w:val="000000"/>
                <w:kern w:val="0"/>
                <w:sz w:val="24"/>
                <w:szCs w:val="24"/>
                <w:u w:val="none"/>
                <w:lang w:val="en-US" w:eastAsia="zh-CN" w:bidi="ar"/>
              </w:rPr>
              <w:t>人员管理</w:t>
            </w:r>
          </w:p>
        </w:tc>
        <w:tc>
          <w:tcPr>
            <w:tcW w:w="153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141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1984"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3823" w:type="dxa"/>
            <w:vAlign w:val="center"/>
          </w:tcPr>
          <w:p>
            <w:pPr>
              <w:keepNext w:val="0"/>
              <w:keepLines w:val="0"/>
              <w:pageBreakBefore w:val="0"/>
              <w:widowControl/>
              <w:suppressLineNumbers w:val="0"/>
              <w:kinsoku/>
              <w:wordWrap/>
              <w:overflowPunct w:val="0"/>
              <w:topLinePunct w:val="0"/>
              <w:bidi w:val="0"/>
              <w:ind w:firstLine="480" w:firstLineChars="200"/>
              <w:jc w:val="left"/>
              <w:textAlignment w:val="center"/>
              <w:rPr>
                <w:rFonts w:hAnsi="宋体" w:cs="宋体"/>
                <w:color w:val="000000"/>
                <w:kern w:val="0"/>
                <w:sz w:val="24"/>
                <w:szCs w:val="28"/>
                <w:highlight w:val="none"/>
              </w:rPr>
            </w:pPr>
            <w:r>
              <w:rPr>
                <w:rFonts w:hint="eastAsia" w:ascii="仿宋_GB2312" w:hAnsi="宋体" w:eastAsia="仿宋_GB2312" w:cs="仿宋_GB2312"/>
                <w:i w:val="0"/>
                <w:iCs w:val="0"/>
                <w:color w:val="000000"/>
                <w:kern w:val="0"/>
                <w:sz w:val="24"/>
                <w:szCs w:val="24"/>
                <w:u w:val="none"/>
                <w:lang w:val="en-US" w:eastAsia="zh-CN" w:bidi="ar"/>
              </w:rPr>
              <w:t>重点工作管理</w:t>
            </w:r>
          </w:p>
        </w:tc>
        <w:tc>
          <w:tcPr>
            <w:tcW w:w="153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default" w:ascii="宋体" w:hAnsi="宋体" w:eastAsia="宋体" w:cs="宋体"/>
                <w:color w:val="000000"/>
                <w:kern w:val="0"/>
                <w:sz w:val="22"/>
                <w:szCs w:val="22"/>
                <w:highlight w:val="none"/>
                <w:lang w:val="en-US"/>
              </w:rPr>
            </w:pPr>
            <w:r>
              <w:rPr>
                <w:rFonts w:hint="default" w:ascii="宋体" w:hAnsi="宋体" w:eastAsia="宋体" w:cs="宋体"/>
                <w:i w:val="0"/>
                <w:iCs w:val="0"/>
                <w:color w:val="000000"/>
                <w:kern w:val="0"/>
                <w:sz w:val="22"/>
                <w:szCs w:val="22"/>
                <w:u w:val="none"/>
                <w:lang w:val="en-US" w:eastAsia="zh-CN" w:bidi="ar"/>
              </w:rPr>
              <w:t>2</w:t>
            </w:r>
          </w:p>
        </w:tc>
        <w:tc>
          <w:tcPr>
            <w:tcW w:w="141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eastAsia" w:ascii="宋体" w:hAnsi="宋体" w:eastAsia="宋体" w:cs="宋体"/>
                <w:color w:val="000000"/>
                <w:kern w:val="0"/>
                <w:sz w:val="22"/>
                <w:szCs w:val="22"/>
                <w:highlight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1984"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397" w:hRule="atLeast"/>
          <w:tblHeader/>
          <w:jc w:val="center"/>
        </w:trPr>
        <w:tc>
          <w:tcPr>
            <w:tcW w:w="3823" w:type="dxa"/>
            <w:shd w:val="clear" w:color="auto" w:fill="BDD6EE"/>
            <w:vAlign w:val="center"/>
          </w:tcPr>
          <w:p>
            <w:pPr>
              <w:keepNext w:val="0"/>
              <w:keepLines w:val="0"/>
              <w:pageBreakBefore w:val="0"/>
              <w:widowControl/>
              <w:suppressLineNumbers w:val="0"/>
              <w:kinsoku/>
              <w:wordWrap/>
              <w:overflowPunct w:val="0"/>
              <w:topLinePunct w:val="0"/>
              <w:bidi w:val="0"/>
              <w:ind w:firstLine="482" w:firstLineChars="200"/>
              <w:jc w:val="center"/>
              <w:textAlignment w:val="center"/>
              <w:rPr>
                <w:rFonts w:hAnsi="宋体" w:cs="宋体"/>
                <w:b/>
                <w:color w:val="000000"/>
                <w:kern w:val="0"/>
                <w:sz w:val="24"/>
                <w:szCs w:val="28"/>
                <w:highlight w:val="none"/>
              </w:rPr>
            </w:pPr>
            <w:r>
              <w:rPr>
                <w:rFonts w:hint="eastAsia" w:ascii="仿宋_GB2312" w:hAnsi="宋体" w:eastAsia="仿宋_GB2312" w:cs="仿宋_GB2312"/>
                <w:b/>
                <w:bCs/>
                <w:i w:val="0"/>
                <w:iCs w:val="0"/>
                <w:color w:val="000000"/>
                <w:kern w:val="0"/>
                <w:sz w:val="24"/>
                <w:szCs w:val="24"/>
                <w:u w:val="none"/>
                <w:lang w:val="en-US" w:eastAsia="zh-CN" w:bidi="ar"/>
              </w:rPr>
              <w:t>合计</w:t>
            </w:r>
          </w:p>
        </w:tc>
        <w:tc>
          <w:tcPr>
            <w:tcW w:w="1530"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bCs/>
                <w:i w:val="0"/>
                <w:iCs w:val="0"/>
                <w:color w:val="000000"/>
                <w:kern w:val="0"/>
                <w:sz w:val="22"/>
                <w:szCs w:val="22"/>
                <w:u w:val="none"/>
                <w:lang w:val="en-US" w:eastAsia="zh-CN" w:bidi="ar"/>
              </w:rPr>
              <w:t>20</w:t>
            </w:r>
          </w:p>
        </w:tc>
        <w:tc>
          <w:tcPr>
            <w:tcW w:w="1418"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hint="default" w:ascii="宋体" w:hAnsi="宋体" w:eastAsia="宋体" w:cs="宋体"/>
                <w:b/>
                <w:color w:val="000000"/>
                <w:kern w:val="0"/>
                <w:sz w:val="22"/>
                <w:szCs w:val="22"/>
                <w:highlight w:val="none"/>
                <w:lang w:val="en-US" w:eastAsia="zh-CN"/>
              </w:rPr>
            </w:pPr>
            <w:r>
              <w:rPr>
                <w:rFonts w:hint="eastAsia" w:ascii="宋体" w:hAnsi="宋体" w:eastAsia="宋体" w:cs="宋体"/>
                <w:b/>
                <w:bCs/>
                <w:i w:val="0"/>
                <w:iCs w:val="0"/>
                <w:color w:val="000000"/>
                <w:kern w:val="0"/>
                <w:sz w:val="22"/>
                <w:szCs w:val="22"/>
                <w:u w:val="none"/>
                <w:lang w:val="en-US" w:eastAsia="zh-CN" w:bidi="ar"/>
              </w:rPr>
              <w:t>20</w:t>
            </w:r>
          </w:p>
        </w:tc>
        <w:tc>
          <w:tcPr>
            <w:tcW w:w="1984"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bCs/>
                <w:i w:val="0"/>
                <w:iCs w:val="0"/>
                <w:color w:val="000000"/>
                <w:kern w:val="0"/>
                <w:sz w:val="22"/>
                <w:szCs w:val="22"/>
                <w:u w:val="none"/>
                <w:lang w:val="en-US" w:eastAsia="zh-CN" w:bidi="ar"/>
              </w:rPr>
              <w:t>100%</w:t>
            </w:r>
          </w:p>
        </w:tc>
      </w:tr>
    </w:tbl>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sz w:val="32"/>
          <w:szCs w:val="28"/>
          <w:highlight w:val="none"/>
        </w:rPr>
      </w:pPr>
      <w:r>
        <w:rPr>
          <w:rFonts w:hint="eastAsia" w:ascii="Times New Roman" w:hAnsi="宋体" w:eastAsia="仿宋_GB2312"/>
          <w:b/>
          <w:bCs/>
          <w:sz w:val="32"/>
          <w:szCs w:val="28"/>
          <w:highlight w:val="none"/>
        </w:rPr>
        <w:t>基本支出预算执行率</w:t>
      </w:r>
      <w:r>
        <w:rPr>
          <w:rFonts w:hint="eastAsia" w:ascii="Times New Roman" w:hAnsi="宋体" w:eastAsia="仿宋_GB2312"/>
          <w:b/>
          <w:bCs/>
          <w:sz w:val="32"/>
          <w:szCs w:val="28"/>
          <w:highlight w:val="none"/>
          <w:lang w:eastAsia="zh-CN"/>
        </w:rPr>
        <w:t>：</w:t>
      </w:r>
      <w:r>
        <w:rPr>
          <w:rFonts w:hint="eastAsia" w:ascii="Times New Roman" w:hAnsi="宋体" w:eastAsia="仿宋_GB2312"/>
          <w:sz w:val="32"/>
          <w:szCs w:val="28"/>
          <w:highlight w:val="none"/>
          <w:lang w:eastAsia="zh-CN"/>
        </w:rPr>
        <w:t>202</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年度我院基本支出全年预算数</w:t>
      </w:r>
      <w:r>
        <w:rPr>
          <w:rFonts w:hint="eastAsia" w:ascii="Times New Roman" w:hAnsi="宋体" w:eastAsia="仿宋_GB2312"/>
          <w:sz w:val="32"/>
          <w:szCs w:val="28"/>
          <w:highlight w:val="none"/>
          <w:lang w:val="en-US" w:eastAsia="zh-CN"/>
        </w:rPr>
        <w:t>为1</w:t>
      </w:r>
      <w:r>
        <w:rPr>
          <w:rFonts w:hint="eastAsia" w:ascii="Times New Roman" w:hAnsi="宋体"/>
          <w:sz w:val="32"/>
          <w:szCs w:val="28"/>
          <w:highlight w:val="none"/>
          <w:lang w:val="en-US" w:eastAsia="zh-CN"/>
        </w:rPr>
        <w:t>,</w:t>
      </w:r>
      <w:r>
        <w:rPr>
          <w:rFonts w:hint="eastAsia" w:ascii="Times New Roman" w:hAnsi="宋体" w:eastAsia="仿宋_GB2312"/>
          <w:sz w:val="32"/>
          <w:szCs w:val="28"/>
          <w:highlight w:val="none"/>
          <w:lang w:val="en-US" w:eastAsia="zh-CN"/>
        </w:rPr>
        <w:t>642.13万元，</w:t>
      </w:r>
      <w:r>
        <w:rPr>
          <w:rFonts w:hint="eastAsia" w:ascii="Times New Roman" w:hAnsi="宋体" w:eastAsia="仿宋_GB2312"/>
          <w:sz w:val="32"/>
          <w:szCs w:val="28"/>
          <w:highlight w:val="none"/>
        </w:rPr>
        <w:t>实际支出数</w:t>
      </w:r>
      <w:r>
        <w:rPr>
          <w:rFonts w:hint="eastAsia" w:ascii="Times New Roman" w:hAnsi="宋体" w:eastAsia="仿宋_GB2312"/>
          <w:sz w:val="32"/>
          <w:szCs w:val="28"/>
          <w:highlight w:val="none"/>
          <w:lang w:val="en-US" w:eastAsia="zh-CN"/>
        </w:rPr>
        <w:t>为1,623.49</w:t>
      </w:r>
      <w:r>
        <w:rPr>
          <w:rFonts w:hint="eastAsia" w:ascii="Times New Roman" w:hAnsi="宋体" w:eastAsia="仿宋_GB2312"/>
          <w:sz w:val="32"/>
          <w:szCs w:val="28"/>
          <w:highlight w:val="none"/>
        </w:rPr>
        <w:t>万元，基本支出预算执行率为</w:t>
      </w:r>
      <w:r>
        <w:rPr>
          <w:rFonts w:hint="eastAsia" w:ascii="Times New Roman" w:hAnsi="宋体" w:eastAsia="仿宋_GB2312"/>
          <w:sz w:val="32"/>
          <w:szCs w:val="28"/>
          <w:highlight w:val="none"/>
          <w:lang w:val="en-US" w:eastAsia="zh-CN"/>
        </w:rPr>
        <w:t>98.86</w:t>
      </w:r>
      <w:r>
        <w:rPr>
          <w:rFonts w:hint="eastAsia" w:ascii="Times New Roman" w:hAnsi="宋体" w:eastAsia="仿宋_GB2312"/>
          <w:sz w:val="32"/>
          <w:szCs w:val="28"/>
          <w:highlight w:val="none"/>
        </w:rPr>
        <w:t>%。</w:t>
      </w:r>
      <w:r>
        <w:rPr>
          <w:rFonts w:hint="eastAsia" w:ascii="Times New Roman" w:hAnsi="宋体" w:eastAsia="仿宋_GB2312"/>
          <w:sz w:val="32"/>
          <w:szCs w:val="28"/>
          <w:highlight w:val="none"/>
          <w:lang w:val="en-US" w:eastAsia="zh-CN"/>
        </w:rPr>
        <w:t>年度目标值为&gt;=95%，达到预期目标。</w:t>
      </w:r>
      <w:r>
        <w:rPr>
          <w:rFonts w:hint="eastAsia" w:ascii="Times New Roman" w:hAnsi="宋体" w:eastAsia="仿宋_GB2312"/>
          <w:sz w:val="32"/>
          <w:szCs w:val="28"/>
          <w:highlight w:val="none"/>
        </w:rPr>
        <w:t>该指标分值</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分，自评得分为</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sz w:val="32"/>
          <w:szCs w:val="28"/>
          <w:highlight w:val="none"/>
        </w:rPr>
      </w:pPr>
      <w:r>
        <w:rPr>
          <w:rFonts w:hint="eastAsia" w:ascii="Times New Roman" w:hAnsi="宋体" w:eastAsia="仿宋_GB2312"/>
          <w:b/>
          <w:bCs/>
          <w:sz w:val="32"/>
          <w:szCs w:val="28"/>
          <w:highlight w:val="none"/>
        </w:rPr>
        <w:t>项目支出预算执行率：</w:t>
      </w:r>
      <w:r>
        <w:rPr>
          <w:rFonts w:hint="eastAsia" w:ascii="Times New Roman" w:hAnsi="宋体" w:eastAsia="仿宋_GB2312"/>
          <w:sz w:val="32"/>
          <w:szCs w:val="28"/>
          <w:highlight w:val="none"/>
          <w:lang w:eastAsia="zh-CN"/>
        </w:rPr>
        <w:t>202</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年度项目支出全年预算数</w:t>
      </w:r>
      <w:r>
        <w:rPr>
          <w:rFonts w:hint="eastAsia" w:ascii="Times New Roman" w:hAnsi="宋体" w:eastAsia="仿宋_GB2312"/>
          <w:sz w:val="32"/>
          <w:szCs w:val="28"/>
          <w:highlight w:val="none"/>
          <w:lang w:val="en-US" w:eastAsia="zh-CN"/>
        </w:rPr>
        <w:t>604.32万元，</w:t>
      </w:r>
      <w:r>
        <w:rPr>
          <w:rFonts w:hint="eastAsia" w:ascii="Times New Roman" w:hAnsi="宋体" w:eastAsia="仿宋_GB2312"/>
          <w:sz w:val="32"/>
          <w:szCs w:val="28"/>
          <w:highlight w:val="none"/>
        </w:rPr>
        <w:t>实际支出数</w:t>
      </w:r>
      <w:r>
        <w:rPr>
          <w:rFonts w:hint="eastAsia" w:ascii="Times New Roman" w:hAnsi="宋体" w:eastAsia="仿宋_GB2312"/>
          <w:sz w:val="32"/>
          <w:szCs w:val="28"/>
          <w:highlight w:val="none"/>
          <w:lang w:eastAsia="zh-CN"/>
        </w:rPr>
        <w:t>为</w:t>
      </w:r>
      <w:r>
        <w:rPr>
          <w:rFonts w:hint="eastAsia" w:ascii="Times New Roman" w:hAnsi="宋体" w:eastAsia="仿宋_GB2312"/>
          <w:sz w:val="32"/>
          <w:szCs w:val="28"/>
          <w:highlight w:val="none"/>
          <w:lang w:val="en-US" w:eastAsia="zh-CN"/>
        </w:rPr>
        <w:t>600.67</w:t>
      </w:r>
      <w:r>
        <w:rPr>
          <w:rFonts w:hint="eastAsia" w:ascii="Times New Roman" w:hAnsi="宋体" w:eastAsia="仿宋_GB2312"/>
          <w:sz w:val="32"/>
          <w:szCs w:val="28"/>
          <w:highlight w:val="none"/>
        </w:rPr>
        <w:t>万元，项目支出预算执行率为</w:t>
      </w:r>
      <w:r>
        <w:rPr>
          <w:rFonts w:hint="eastAsia" w:ascii="Times New Roman" w:hAnsi="宋体" w:eastAsia="仿宋_GB2312"/>
          <w:sz w:val="32"/>
          <w:szCs w:val="28"/>
          <w:highlight w:val="none"/>
          <w:lang w:val="en-US" w:eastAsia="zh-CN"/>
        </w:rPr>
        <w:t>99.40%</w:t>
      </w:r>
      <w:r>
        <w:rPr>
          <w:rFonts w:hint="eastAsia" w:ascii="Times New Roman" w:hAnsi="宋体" w:eastAsia="仿宋_GB2312"/>
          <w:sz w:val="32"/>
          <w:szCs w:val="28"/>
          <w:highlight w:val="none"/>
        </w:rPr>
        <w:t>。</w:t>
      </w:r>
      <w:r>
        <w:rPr>
          <w:rFonts w:hint="eastAsia" w:ascii="Times New Roman" w:hAnsi="宋体" w:eastAsia="仿宋_GB2312"/>
          <w:sz w:val="32"/>
          <w:szCs w:val="28"/>
          <w:highlight w:val="none"/>
          <w:lang w:val="en-US" w:eastAsia="zh-CN"/>
        </w:rPr>
        <w:t>年度目标值为&gt;=95%，达到预期目标。</w:t>
      </w:r>
      <w:r>
        <w:rPr>
          <w:rFonts w:hint="eastAsia" w:ascii="Times New Roman" w:hAnsi="宋体" w:eastAsia="仿宋_GB2312"/>
          <w:sz w:val="32"/>
          <w:szCs w:val="28"/>
          <w:highlight w:val="none"/>
        </w:rPr>
        <w:t>该指标分值</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分，自评得分为</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sz w:val="32"/>
          <w:szCs w:val="28"/>
          <w:highlight w:val="none"/>
        </w:rPr>
      </w:pPr>
      <w:r>
        <w:rPr>
          <w:rFonts w:hint="eastAsia" w:ascii="Times New Roman" w:hAnsi="宋体" w:eastAsia="仿宋_GB2312"/>
          <w:b/>
          <w:bCs/>
          <w:sz w:val="32"/>
          <w:szCs w:val="28"/>
          <w:highlight w:val="none"/>
        </w:rPr>
        <w:t>“三公经费”控制率：</w:t>
      </w:r>
      <w:r>
        <w:rPr>
          <w:rFonts w:hint="eastAsia" w:ascii="Times New Roman" w:hAnsi="宋体" w:eastAsia="仿宋_GB2312" w:cstheme="minorBidi"/>
          <w:kern w:val="2"/>
          <w:sz w:val="32"/>
          <w:szCs w:val="28"/>
          <w:highlight w:val="none"/>
          <w:lang w:val="en-US" w:eastAsia="zh-CN" w:bidi="ar-SA"/>
        </w:rPr>
        <w:t>2022年度我院按照国家、省市区有关厉行节约的规定，对“三公经费”进行控制，“三公经费”预算数28.06万元，实际支出数28.06万元，“三公经费”控制率为100%。</w:t>
      </w:r>
      <w:r>
        <w:rPr>
          <w:rFonts w:hint="eastAsia" w:ascii="Times New Roman" w:hAnsi="宋体" w:eastAsia="仿宋_GB2312"/>
          <w:sz w:val="32"/>
          <w:szCs w:val="28"/>
          <w:highlight w:val="none"/>
        </w:rPr>
        <w:t>该指标分值</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分，自评得分为</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sz w:val="32"/>
          <w:highlight w:val="none"/>
        </w:rPr>
      </w:pPr>
      <w:r>
        <w:rPr>
          <w:rFonts w:hint="eastAsia" w:ascii="Times New Roman" w:hAnsi="宋体" w:eastAsia="仿宋_GB2312"/>
          <w:b/>
          <w:bCs/>
          <w:sz w:val="32"/>
          <w:szCs w:val="28"/>
          <w:highlight w:val="none"/>
        </w:rPr>
        <w:t>结转结余变动率：</w:t>
      </w:r>
      <w:r>
        <w:rPr>
          <w:rFonts w:hint="eastAsia" w:ascii="Times New Roman" w:hAnsi="宋体" w:eastAsia="仿宋_GB2312"/>
          <w:sz w:val="32"/>
          <w:szCs w:val="28"/>
          <w:highlight w:val="none"/>
          <w:lang w:eastAsia="zh-CN"/>
        </w:rPr>
        <w:t>我院</w:t>
      </w:r>
      <w:r>
        <w:rPr>
          <w:rFonts w:hint="eastAsia" w:ascii="Times New Roman" w:hAnsi="宋体" w:eastAsia="仿宋_GB2312"/>
          <w:sz w:val="32"/>
          <w:szCs w:val="28"/>
          <w:highlight w:val="none"/>
        </w:rPr>
        <w:t>202</w:t>
      </w:r>
      <w:r>
        <w:rPr>
          <w:rFonts w:hint="eastAsia" w:ascii="Times New Roman" w:hAnsi="宋体" w:eastAsia="仿宋_GB2312"/>
          <w:sz w:val="32"/>
          <w:szCs w:val="28"/>
          <w:highlight w:val="none"/>
          <w:lang w:val="en-US" w:eastAsia="zh-CN"/>
        </w:rPr>
        <w:t>1</w:t>
      </w:r>
      <w:r>
        <w:rPr>
          <w:rFonts w:hint="eastAsia" w:ascii="Times New Roman" w:hAnsi="宋体" w:eastAsia="仿宋_GB2312"/>
          <w:sz w:val="32"/>
          <w:szCs w:val="28"/>
          <w:highlight w:val="none"/>
        </w:rPr>
        <w:t>年度结转结余资金</w:t>
      </w:r>
      <w:r>
        <w:rPr>
          <w:rFonts w:hint="eastAsia" w:ascii="Times New Roman" w:hAnsi="宋体" w:eastAsia="仿宋_GB2312"/>
          <w:sz w:val="32"/>
          <w:szCs w:val="28"/>
          <w:highlight w:val="none"/>
          <w:lang w:val="en-US" w:eastAsia="zh-CN"/>
        </w:rPr>
        <w:t>54.90万元</w:t>
      </w:r>
      <w:r>
        <w:rPr>
          <w:rFonts w:hint="eastAsia" w:ascii="Times New Roman" w:hAnsi="宋体" w:eastAsia="仿宋_GB2312"/>
          <w:sz w:val="32"/>
          <w:szCs w:val="28"/>
          <w:highlight w:val="none"/>
        </w:rPr>
        <w:t>，202</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年度结转结余资金</w:t>
      </w:r>
      <w:r>
        <w:rPr>
          <w:rFonts w:hint="eastAsia" w:ascii="Times New Roman" w:hAnsi="宋体" w:eastAsia="仿宋_GB2312"/>
          <w:sz w:val="32"/>
          <w:szCs w:val="28"/>
          <w:highlight w:val="none"/>
          <w:lang w:val="en-US" w:eastAsia="zh-CN"/>
        </w:rPr>
        <w:t>22.28万元</w:t>
      </w:r>
      <w:r>
        <w:rPr>
          <w:rFonts w:hint="eastAsia" w:ascii="Times New Roman" w:hAnsi="宋体"/>
          <w:sz w:val="32"/>
          <w:szCs w:val="28"/>
          <w:highlight w:val="none"/>
          <w:lang w:val="en-US" w:eastAsia="zh-CN"/>
        </w:rPr>
        <w:t>，</w:t>
      </w:r>
      <w:r>
        <w:rPr>
          <w:rFonts w:hint="eastAsia" w:ascii="Times New Roman" w:hAnsi="宋体" w:eastAsia="仿宋_GB2312"/>
          <w:sz w:val="32"/>
          <w:szCs w:val="28"/>
          <w:highlight w:val="none"/>
        </w:rPr>
        <w:t>变动率为</w:t>
      </w:r>
      <w:r>
        <w:rPr>
          <w:rFonts w:hint="eastAsia" w:ascii="Times New Roman" w:hAnsi="宋体" w:eastAsia="仿宋_GB2312"/>
          <w:sz w:val="32"/>
          <w:szCs w:val="28"/>
          <w:highlight w:val="none"/>
          <w:lang w:val="en-US" w:eastAsia="zh-CN"/>
        </w:rPr>
        <w:t>-59.41</w:t>
      </w:r>
      <w:r>
        <w:rPr>
          <w:rFonts w:hint="eastAsia" w:ascii="Times New Roman" w:hAnsi="宋体" w:eastAsia="仿宋_GB2312"/>
          <w:sz w:val="32"/>
          <w:szCs w:val="28"/>
          <w:highlight w:val="none"/>
        </w:rPr>
        <w:t>%</w:t>
      </w:r>
      <w:r>
        <w:rPr>
          <w:rFonts w:hint="eastAsia" w:ascii="Times New Roman" w:hAnsi="宋体" w:eastAsia="仿宋_GB2312"/>
          <w:sz w:val="32"/>
          <w:szCs w:val="28"/>
          <w:highlight w:val="none"/>
          <w:lang w:eastAsia="zh-CN"/>
        </w:rPr>
        <w:t>，达到</w:t>
      </w:r>
      <w:r>
        <w:rPr>
          <w:rFonts w:hint="eastAsia" w:ascii="Times New Roman" w:hAnsi="宋体" w:eastAsia="仿宋_GB2312"/>
          <w:sz w:val="32"/>
          <w:szCs w:val="28"/>
          <w:highlight w:val="none"/>
          <w:lang w:val="en-US" w:eastAsia="zh-CN"/>
        </w:rPr>
        <w:t>年度指标值</w:t>
      </w:r>
      <w:r>
        <w:rPr>
          <w:rFonts w:hint="eastAsia" w:ascii="Times New Roman" w:hAnsi="宋体" w:eastAsia="仿宋_GB2312"/>
          <w:sz w:val="32"/>
          <w:szCs w:val="28"/>
          <w:highlight w:val="none"/>
        </w:rPr>
        <w:t>。该指标分值</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分，自评得分为</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sz w:val="32"/>
          <w:szCs w:val="28"/>
          <w:highlight w:val="none"/>
        </w:rPr>
      </w:pPr>
      <w:r>
        <w:rPr>
          <w:rFonts w:hint="eastAsia" w:ascii="Times New Roman" w:hAnsi="宋体" w:eastAsia="仿宋_GB2312"/>
          <w:b/>
          <w:bCs/>
          <w:sz w:val="32"/>
          <w:szCs w:val="28"/>
        </w:rPr>
        <w:t>财务管理制度健全性：</w:t>
      </w:r>
      <w:r>
        <w:rPr>
          <w:rFonts w:hint="eastAsia" w:ascii="Times New Roman" w:hAnsi="宋体" w:eastAsia="仿宋_GB2312"/>
          <w:sz w:val="32"/>
          <w:szCs w:val="28"/>
          <w:lang w:eastAsia="zh-CN"/>
        </w:rPr>
        <w:t>我院根据</w:t>
      </w:r>
      <w:r>
        <w:rPr>
          <w:rFonts w:hint="eastAsia" w:ascii="Times New Roman" w:hAnsi="宋体" w:eastAsia="仿宋_GB2312"/>
          <w:sz w:val="32"/>
          <w:szCs w:val="28"/>
        </w:rPr>
        <w:t>《</w:t>
      </w:r>
      <w:r>
        <w:rPr>
          <w:rFonts w:hint="eastAsia" w:ascii="Times New Roman" w:hAnsi="宋体" w:eastAsia="仿宋_GB2312"/>
          <w:sz w:val="32"/>
          <w:szCs w:val="28"/>
          <w:lang w:val="en-US" w:eastAsia="zh-CN"/>
        </w:rPr>
        <w:t>秦安县</w:t>
      </w:r>
      <w:r>
        <w:rPr>
          <w:rFonts w:hint="eastAsia" w:ascii="Times New Roman" w:hAnsi="宋体" w:eastAsia="仿宋_GB2312"/>
          <w:sz w:val="32"/>
          <w:szCs w:val="28"/>
        </w:rPr>
        <w:t>人民法院财务管理制度》进行财务管理</w:t>
      </w:r>
      <w:r>
        <w:rPr>
          <w:rFonts w:hint="eastAsia" w:ascii="Times New Roman" w:hAnsi="宋体" w:eastAsia="仿宋_GB2312"/>
          <w:sz w:val="32"/>
          <w:szCs w:val="28"/>
          <w:lang w:eastAsia="zh-CN"/>
        </w:rPr>
        <w:t>，</w:t>
      </w:r>
      <w:r>
        <w:rPr>
          <w:rFonts w:hint="eastAsia" w:ascii="Times New Roman" w:hAnsi="宋体" w:eastAsia="仿宋_GB2312"/>
          <w:sz w:val="32"/>
          <w:szCs w:val="28"/>
        </w:rPr>
        <w:t>经费收支管理</w:t>
      </w:r>
      <w:r>
        <w:rPr>
          <w:rFonts w:hint="eastAsia" w:ascii="Times New Roman" w:hAnsi="宋体" w:eastAsia="仿宋_GB2312"/>
          <w:sz w:val="32"/>
          <w:szCs w:val="28"/>
          <w:lang w:eastAsia="zh-CN"/>
        </w:rPr>
        <w:t>以及</w:t>
      </w:r>
      <w:r>
        <w:rPr>
          <w:rFonts w:hint="eastAsia" w:ascii="Times New Roman" w:hAnsi="宋体" w:eastAsia="仿宋_GB2312"/>
          <w:sz w:val="32"/>
          <w:szCs w:val="28"/>
        </w:rPr>
        <w:t>票据管理</w:t>
      </w:r>
      <w:r>
        <w:rPr>
          <w:rFonts w:hint="eastAsia" w:ascii="Times New Roman" w:hAnsi="宋体" w:eastAsia="仿宋_GB2312"/>
          <w:sz w:val="32"/>
          <w:szCs w:val="28"/>
          <w:lang w:eastAsia="zh-CN"/>
        </w:rPr>
        <w:t>等事项</w:t>
      </w:r>
      <w:r>
        <w:rPr>
          <w:rFonts w:hint="eastAsia" w:ascii="Times New Roman" w:hAnsi="宋体" w:eastAsia="仿宋_GB2312"/>
          <w:sz w:val="32"/>
          <w:szCs w:val="28"/>
          <w:lang w:val="en-US" w:eastAsia="zh-CN"/>
        </w:rPr>
        <w:t>有完备的审批流程和管控手续，</w:t>
      </w:r>
      <w:r>
        <w:rPr>
          <w:rFonts w:hint="eastAsia" w:ascii="Times New Roman" w:hAnsi="宋体" w:eastAsia="仿宋_GB2312"/>
          <w:sz w:val="32"/>
          <w:szCs w:val="28"/>
        </w:rPr>
        <w:t>在预算执行、事项支出、会计核算以及重大事项支出程序等方面不存在不规范现象，财务管理制度内容完备，具备可操作性。该指标分值</w:t>
      </w:r>
      <w:r>
        <w:rPr>
          <w:rFonts w:hint="eastAsia" w:ascii="Times New Roman" w:hAnsi="宋体" w:eastAsia="仿宋_GB2312"/>
          <w:sz w:val="32"/>
          <w:szCs w:val="28"/>
          <w:lang w:val="en-US" w:eastAsia="zh-CN"/>
        </w:rPr>
        <w:t>2</w:t>
      </w:r>
      <w:r>
        <w:rPr>
          <w:rFonts w:hint="eastAsia" w:ascii="Times New Roman" w:hAnsi="宋体" w:eastAsia="仿宋_GB2312"/>
          <w:sz w:val="32"/>
          <w:szCs w:val="28"/>
        </w:rPr>
        <w:t>分，自评得分</w:t>
      </w:r>
      <w:r>
        <w:rPr>
          <w:rFonts w:hint="eastAsia" w:ascii="Times New Roman" w:hAnsi="宋体" w:eastAsia="仿宋_GB2312"/>
          <w:sz w:val="32"/>
          <w:szCs w:val="28"/>
          <w:highlight w:val="none"/>
        </w:rPr>
        <w:t>为</w:t>
      </w:r>
      <w:r>
        <w:rPr>
          <w:rFonts w:hint="eastAsia" w:ascii="Times New Roman" w:hAnsi="宋体" w:eastAsia="仿宋_GB2312"/>
          <w:sz w:val="32"/>
          <w:szCs w:val="28"/>
          <w:highlight w:val="none"/>
          <w:lang w:val="en-US" w:eastAsia="zh-CN"/>
        </w:rPr>
        <w:t>2</w:t>
      </w:r>
      <w:r>
        <w:rPr>
          <w:rFonts w:hint="eastAsia" w:ascii="Times New Roman" w:hAnsi="宋体" w:eastAsia="仿宋_GB2312"/>
          <w:sz w:val="32"/>
          <w:szCs w:val="28"/>
          <w:highlight w:val="none"/>
        </w:rPr>
        <w:t>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sz w:val="32"/>
          <w:szCs w:val="28"/>
        </w:rPr>
      </w:pPr>
      <w:r>
        <w:rPr>
          <w:rFonts w:hint="eastAsia" w:ascii="Times New Roman" w:hAnsi="宋体" w:eastAsia="仿宋_GB2312"/>
          <w:b/>
          <w:bCs/>
          <w:sz w:val="32"/>
          <w:szCs w:val="28"/>
          <w:highlight w:val="none"/>
        </w:rPr>
        <w:t>资金使用规范性：</w:t>
      </w:r>
      <w:r>
        <w:rPr>
          <w:rFonts w:hint="eastAsia" w:ascii="Times New Roman" w:hAnsi="宋体" w:eastAsia="仿宋_GB2312"/>
          <w:sz w:val="32"/>
          <w:szCs w:val="28"/>
          <w:highlight w:val="none"/>
        </w:rPr>
        <w:t>我院资金支出总体上审批程序合规、手续齐全，支出内容</w:t>
      </w:r>
      <w:r>
        <w:rPr>
          <w:rFonts w:hint="eastAsia" w:ascii="Times New Roman" w:hAnsi="宋体" w:eastAsia="仿宋_GB2312"/>
          <w:sz w:val="32"/>
          <w:szCs w:val="28"/>
        </w:rPr>
        <w:t>符合省财政预算批复规定的用途，严格使用公务卡报销，有效提高了财务资金使用的合理性和规范性,防止了国有资金流失</w:t>
      </w:r>
      <w:r>
        <w:rPr>
          <w:rFonts w:hint="eastAsia" w:ascii="Times New Roman" w:hAnsi="宋体" w:eastAsia="仿宋_GB2312"/>
          <w:sz w:val="32"/>
          <w:szCs w:val="28"/>
          <w:lang w:eastAsia="zh-CN"/>
        </w:rPr>
        <w:t>。</w:t>
      </w:r>
      <w:r>
        <w:rPr>
          <w:rFonts w:hint="eastAsia" w:ascii="Times New Roman" w:hAnsi="宋体" w:eastAsia="仿宋_GB2312"/>
          <w:sz w:val="32"/>
          <w:szCs w:val="28"/>
        </w:rPr>
        <w:t>该指标分值</w:t>
      </w:r>
      <w:r>
        <w:rPr>
          <w:rFonts w:hint="eastAsia" w:ascii="Times New Roman" w:hAnsi="宋体" w:eastAsia="仿宋_GB2312"/>
          <w:sz w:val="32"/>
          <w:szCs w:val="28"/>
          <w:lang w:eastAsia="zh-CN"/>
        </w:rPr>
        <w:t>2</w:t>
      </w:r>
      <w:r>
        <w:rPr>
          <w:rFonts w:hint="eastAsia" w:ascii="Times New Roman" w:hAnsi="宋体" w:eastAsia="仿宋_GB2312"/>
          <w:sz w:val="32"/>
          <w:szCs w:val="28"/>
        </w:rPr>
        <w:t>分，自评得分为</w:t>
      </w:r>
      <w:r>
        <w:rPr>
          <w:rFonts w:hint="eastAsia" w:ascii="Times New Roman" w:hAnsi="宋体" w:eastAsia="仿宋_GB2312"/>
          <w:sz w:val="32"/>
          <w:szCs w:val="28"/>
          <w:lang w:eastAsia="zh-CN"/>
        </w:rPr>
        <w:t>2</w:t>
      </w:r>
      <w:r>
        <w:rPr>
          <w:rFonts w:hint="eastAsia" w:ascii="Times New Roman" w:hAnsi="宋体" w:eastAsia="仿宋_GB2312"/>
          <w:sz w:val="32"/>
          <w:szCs w:val="28"/>
        </w:rPr>
        <w:t>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sz w:val="32"/>
          <w:szCs w:val="28"/>
        </w:rPr>
      </w:pPr>
      <w:r>
        <w:rPr>
          <w:rFonts w:hint="eastAsia" w:ascii="Times New Roman" w:hAnsi="宋体" w:eastAsia="仿宋_GB2312"/>
          <w:b/>
          <w:bCs/>
          <w:sz w:val="32"/>
          <w:szCs w:val="28"/>
        </w:rPr>
        <w:t>政府采购规范性：</w:t>
      </w:r>
      <w:r>
        <w:rPr>
          <w:rFonts w:hint="eastAsia" w:ascii="Times New Roman" w:hAnsi="宋体" w:eastAsia="仿宋_GB2312"/>
          <w:sz w:val="32"/>
          <w:szCs w:val="28"/>
        </w:rPr>
        <w:t>我院采购实际执行情况与采购计划安排无差异。采购事项严格执行相关标准，采购业务符合政府采购相关规定。指标分值</w:t>
      </w:r>
      <w:r>
        <w:rPr>
          <w:rFonts w:hint="eastAsia" w:ascii="Times New Roman" w:hAnsi="宋体" w:eastAsia="仿宋_GB2312"/>
          <w:sz w:val="32"/>
          <w:szCs w:val="28"/>
          <w:lang w:val="en-US" w:eastAsia="zh-CN"/>
        </w:rPr>
        <w:t>2</w:t>
      </w:r>
      <w:r>
        <w:rPr>
          <w:rFonts w:hint="eastAsia" w:ascii="Times New Roman" w:hAnsi="宋体" w:eastAsia="仿宋_GB2312"/>
          <w:sz w:val="32"/>
          <w:szCs w:val="28"/>
        </w:rPr>
        <w:t>分，自评得分</w:t>
      </w:r>
      <w:r>
        <w:rPr>
          <w:rFonts w:hint="eastAsia" w:ascii="Times New Roman" w:hAnsi="宋体" w:eastAsia="仿宋_GB2312"/>
          <w:sz w:val="32"/>
          <w:szCs w:val="28"/>
          <w:lang w:val="en-US" w:eastAsia="zh-CN"/>
        </w:rPr>
        <w:t>2</w:t>
      </w:r>
      <w:r>
        <w:rPr>
          <w:rFonts w:hint="eastAsia" w:ascii="Times New Roman" w:hAnsi="宋体" w:eastAsia="仿宋_GB2312"/>
          <w:sz w:val="32"/>
          <w:szCs w:val="28"/>
        </w:rPr>
        <w:t>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sz w:val="32"/>
          <w:szCs w:val="28"/>
        </w:rPr>
      </w:pPr>
      <w:r>
        <w:rPr>
          <w:rFonts w:hint="eastAsia" w:ascii="Times New Roman" w:hAnsi="宋体" w:eastAsia="仿宋_GB2312"/>
          <w:b/>
          <w:bCs/>
          <w:sz w:val="32"/>
          <w:szCs w:val="28"/>
        </w:rPr>
        <w:t>资产管理规范性：</w:t>
      </w:r>
      <w:r>
        <w:rPr>
          <w:rFonts w:hint="eastAsia" w:ascii="Times New Roman" w:hAnsi="宋体" w:eastAsia="仿宋_GB2312"/>
          <w:sz w:val="32"/>
          <w:szCs w:val="28"/>
          <w:lang w:eastAsia="zh-CN"/>
        </w:rPr>
        <w:t>202</w:t>
      </w:r>
      <w:r>
        <w:rPr>
          <w:rFonts w:hint="eastAsia" w:ascii="Times New Roman" w:hAnsi="宋体" w:eastAsia="仿宋_GB2312"/>
          <w:sz w:val="32"/>
          <w:szCs w:val="28"/>
          <w:lang w:val="en-US" w:eastAsia="zh-CN"/>
        </w:rPr>
        <w:t>2</w:t>
      </w:r>
      <w:r>
        <w:rPr>
          <w:rFonts w:hint="eastAsia" w:ascii="Times New Roman" w:hAnsi="宋体" w:eastAsia="仿宋_GB2312"/>
          <w:sz w:val="32"/>
          <w:szCs w:val="28"/>
        </w:rPr>
        <w:t>年我院账务和资产卡片数据相符，资产卡片与实物相符，各类资产保存完整、使用合规、配置合理、处置规范，资产处置收入能够及时足额上缴财政</w:t>
      </w:r>
      <w:r>
        <w:rPr>
          <w:rFonts w:hint="eastAsia" w:ascii="Times New Roman" w:hAnsi="宋体" w:eastAsia="仿宋_GB2312"/>
          <w:sz w:val="32"/>
          <w:szCs w:val="28"/>
          <w:lang w:eastAsia="zh-CN"/>
        </w:rPr>
        <w:t>，</w:t>
      </w:r>
      <w:r>
        <w:rPr>
          <w:rFonts w:hint="eastAsia" w:ascii="Times New Roman" w:hAnsi="宋体" w:eastAsia="仿宋_GB2312"/>
          <w:sz w:val="32"/>
          <w:szCs w:val="28"/>
        </w:rPr>
        <w:t>资产管理符合相关要求。该指标分值</w:t>
      </w:r>
      <w:r>
        <w:rPr>
          <w:rFonts w:hint="eastAsia" w:ascii="Times New Roman" w:hAnsi="宋体" w:eastAsia="仿宋_GB2312"/>
          <w:sz w:val="32"/>
          <w:szCs w:val="28"/>
          <w:lang w:val="en-US" w:eastAsia="zh-CN"/>
        </w:rPr>
        <w:t>2</w:t>
      </w:r>
      <w:r>
        <w:rPr>
          <w:rFonts w:hint="eastAsia" w:ascii="Times New Roman" w:hAnsi="宋体" w:eastAsia="仿宋_GB2312"/>
          <w:sz w:val="32"/>
          <w:szCs w:val="28"/>
        </w:rPr>
        <w:t>分，自评得分为</w:t>
      </w:r>
      <w:r>
        <w:rPr>
          <w:rFonts w:hint="eastAsia" w:ascii="Times New Roman" w:hAnsi="宋体" w:eastAsia="仿宋_GB2312"/>
          <w:sz w:val="32"/>
          <w:szCs w:val="28"/>
          <w:lang w:val="en-US" w:eastAsia="zh-CN"/>
        </w:rPr>
        <w:t>2</w:t>
      </w:r>
      <w:r>
        <w:rPr>
          <w:rFonts w:hint="eastAsia" w:ascii="Times New Roman" w:hAnsi="宋体" w:eastAsia="仿宋_GB2312"/>
          <w:sz w:val="32"/>
          <w:szCs w:val="28"/>
        </w:rPr>
        <w:t>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sz w:val="32"/>
          <w:szCs w:val="28"/>
          <w:highlight w:val="none"/>
        </w:rPr>
      </w:pPr>
      <w:r>
        <w:rPr>
          <w:rFonts w:hint="eastAsia" w:ascii="Times New Roman" w:hAnsi="宋体" w:eastAsia="仿宋_GB2312"/>
          <w:b/>
          <w:bCs/>
          <w:sz w:val="32"/>
          <w:szCs w:val="28"/>
        </w:rPr>
        <w:t>在职人员控制率：</w:t>
      </w:r>
      <w:r>
        <w:rPr>
          <w:rFonts w:hint="eastAsia" w:ascii="Times New Roman" w:hAnsi="宋体" w:eastAsia="仿宋_GB2312"/>
          <w:sz w:val="32"/>
          <w:szCs w:val="28"/>
          <w:highlight w:val="none"/>
        </w:rPr>
        <w:t>我院人员管理较为规范，</w:t>
      </w:r>
      <w:r>
        <w:rPr>
          <w:rFonts w:hint="eastAsia" w:ascii="Times New Roman" w:hAnsi="宋体" w:eastAsia="仿宋_GB2312"/>
          <w:sz w:val="32"/>
          <w:szCs w:val="28"/>
          <w:highlight w:val="none"/>
          <w:lang w:eastAsia="zh-CN"/>
        </w:rPr>
        <w:t>部门</w:t>
      </w:r>
      <w:r>
        <w:rPr>
          <w:rFonts w:hint="eastAsia" w:ascii="Times New Roman" w:hAnsi="宋体" w:eastAsia="仿宋_GB2312"/>
          <w:sz w:val="32"/>
          <w:szCs w:val="28"/>
          <w:highlight w:val="none"/>
        </w:rPr>
        <w:t>整体的财政供养人员规模得到有效控制，编制人数</w:t>
      </w:r>
      <w:r>
        <w:rPr>
          <w:rFonts w:hint="eastAsia" w:ascii="Times New Roman" w:hAnsi="宋体" w:eastAsia="仿宋_GB2312"/>
          <w:sz w:val="32"/>
          <w:szCs w:val="28"/>
          <w:highlight w:val="none"/>
          <w:lang w:val="en-US" w:eastAsia="zh-CN"/>
        </w:rPr>
        <w:t>80</w:t>
      </w:r>
      <w:r>
        <w:rPr>
          <w:rFonts w:hint="eastAsia" w:ascii="Times New Roman" w:hAnsi="宋体" w:eastAsia="仿宋_GB2312"/>
          <w:sz w:val="32"/>
          <w:szCs w:val="28"/>
          <w:highlight w:val="none"/>
        </w:rPr>
        <w:t>人，在职人员</w:t>
      </w:r>
      <w:r>
        <w:rPr>
          <w:rFonts w:hint="eastAsia" w:ascii="Times New Roman" w:hAnsi="宋体" w:eastAsia="仿宋_GB2312"/>
          <w:sz w:val="32"/>
          <w:szCs w:val="28"/>
          <w:highlight w:val="none"/>
          <w:lang w:val="en-US" w:eastAsia="zh-CN"/>
        </w:rPr>
        <w:t>72</w:t>
      </w:r>
      <w:r>
        <w:rPr>
          <w:rFonts w:hint="eastAsia" w:ascii="Times New Roman" w:hAnsi="宋体" w:eastAsia="仿宋_GB2312"/>
          <w:sz w:val="32"/>
          <w:szCs w:val="28"/>
          <w:highlight w:val="none"/>
        </w:rPr>
        <w:t>人，在职人员控制率为</w:t>
      </w:r>
      <w:r>
        <w:rPr>
          <w:rFonts w:hint="eastAsia" w:ascii="Times New Roman" w:hAnsi="宋体"/>
          <w:sz w:val="32"/>
          <w:szCs w:val="28"/>
          <w:highlight w:val="none"/>
          <w:lang w:val="en-US" w:eastAsia="zh-CN"/>
        </w:rPr>
        <w:t>1</w:t>
      </w:r>
      <w:r>
        <w:rPr>
          <w:rFonts w:hint="eastAsia" w:ascii="Times New Roman" w:hAnsi="宋体" w:eastAsia="仿宋_GB2312"/>
          <w:sz w:val="32"/>
          <w:szCs w:val="28"/>
          <w:highlight w:val="none"/>
          <w:lang w:val="en-US" w:eastAsia="zh-CN"/>
        </w:rPr>
        <w:t>00</w:t>
      </w:r>
      <w:r>
        <w:rPr>
          <w:rFonts w:hint="eastAsia" w:ascii="Times New Roman" w:hAnsi="宋体" w:eastAsia="仿宋_GB2312"/>
          <w:sz w:val="32"/>
          <w:szCs w:val="28"/>
          <w:highlight w:val="none"/>
        </w:rPr>
        <w:t>%</w:t>
      </w:r>
      <w:r>
        <w:rPr>
          <w:rFonts w:hint="eastAsia" w:ascii="Times New Roman" w:hAnsi="宋体" w:eastAsia="仿宋_GB2312"/>
          <w:sz w:val="32"/>
          <w:szCs w:val="28"/>
          <w:highlight w:val="none"/>
          <w:lang w:eastAsia="zh-CN"/>
        </w:rPr>
        <w:t>。</w:t>
      </w:r>
      <w:r>
        <w:rPr>
          <w:rFonts w:hint="eastAsia" w:ascii="Times New Roman" w:hAnsi="宋体" w:eastAsia="仿宋_GB2312"/>
          <w:sz w:val="32"/>
          <w:szCs w:val="28"/>
          <w:highlight w:val="none"/>
        </w:rPr>
        <w:t>该指标分值</w:t>
      </w:r>
      <w:r>
        <w:rPr>
          <w:rFonts w:hint="eastAsia" w:ascii="Times New Roman" w:hAnsi="宋体" w:eastAsia="仿宋_GB2312"/>
          <w:sz w:val="32"/>
          <w:szCs w:val="28"/>
          <w:highlight w:val="none"/>
          <w:lang w:eastAsia="zh-CN"/>
        </w:rPr>
        <w:t>2</w:t>
      </w:r>
      <w:r>
        <w:rPr>
          <w:rFonts w:hint="eastAsia" w:ascii="Times New Roman" w:hAnsi="宋体" w:eastAsia="仿宋_GB2312"/>
          <w:sz w:val="32"/>
          <w:szCs w:val="28"/>
          <w:highlight w:val="none"/>
        </w:rPr>
        <w:t>分，自评得分为</w:t>
      </w:r>
      <w:r>
        <w:rPr>
          <w:rFonts w:hint="eastAsia" w:ascii="Times New Roman" w:hAnsi="宋体" w:eastAsia="仿宋_GB2312"/>
          <w:sz w:val="32"/>
          <w:szCs w:val="28"/>
          <w:highlight w:val="none"/>
          <w:lang w:eastAsia="zh-CN"/>
        </w:rPr>
        <w:t>2</w:t>
      </w:r>
      <w:r>
        <w:rPr>
          <w:rFonts w:hint="eastAsia" w:ascii="Times New Roman" w:hAnsi="宋体" w:eastAsia="仿宋_GB2312"/>
          <w:sz w:val="32"/>
          <w:szCs w:val="28"/>
          <w:highlight w:val="none"/>
        </w:rPr>
        <w:t>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sz w:val="32"/>
          <w:szCs w:val="28"/>
        </w:rPr>
      </w:pPr>
      <w:r>
        <w:rPr>
          <w:rFonts w:hint="eastAsia" w:ascii="Times New Roman" w:hAnsi="宋体" w:eastAsia="仿宋_GB2312"/>
          <w:b/>
          <w:bCs/>
          <w:sz w:val="32"/>
          <w:szCs w:val="28"/>
        </w:rPr>
        <w:t>重点工作管理制度健全性：</w:t>
      </w:r>
      <w:r>
        <w:rPr>
          <w:rFonts w:hint="eastAsia" w:ascii="Times New Roman" w:hAnsi="宋体" w:eastAsia="仿宋_GB2312"/>
          <w:sz w:val="32"/>
          <w:szCs w:val="28"/>
        </w:rPr>
        <w:t>我院针对重点工作，修订并完善了相关案件审判制度，制度合法、合规、完整，并且能够有效执行和指导重点工作的有效推进和实施。指标分值2分，自评得分2分，得分率为100%。</w:t>
      </w:r>
    </w:p>
    <w:p>
      <w:pPr>
        <w:pStyle w:val="5"/>
        <w:keepNext/>
        <w:keepLines/>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2"/>
        <w:rPr>
          <w:rFonts w:hint="default" w:ascii="Times New Roman" w:eastAsia="仿宋_GB2312"/>
          <w:b/>
          <w:sz w:val="32"/>
          <w:highlight w:val="none"/>
          <w:lang w:val="en-US" w:eastAsia="zh-CN"/>
        </w:rPr>
      </w:pPr>
      <w:bookmarkStart w:id="62" w:name="_Toc40046032"/>
      <w:r>
        <w:rPr>
          <w:rFonts w:hint="eastAsia" w:ascii="Times New Roman" w:eastAsia="仿宋_GB2312"/>
          <w:b/>
          <w:sz w:val="32"/>
          <w:highlight w:val="none"/>
          <w:lang w:val="en-US" w:eastAsia="zh-CN"/>
        </w:rPr>
        <w:t>3.</w:t>
      </w:r>
      <w:r>
        <w:rPr>
          <w:rFonts w:hint="eastAsia" w:ascii="Times New Roman" w:eastAsia="仿宋_GB2312"/>
          <w:b/>
          <w:sz w:val="32"/>
          <w:highlight w:val="none"/>
        </w:rPr>
        <w:t>履职效果</w:t>
      </w:r>
      <w:bookmarkEnd w:id="62"/>
      <w:r>
        <w:rPr>
          <w:rFonts w:hint="eastAsia" w:ascii="Times New Roman" w:eastAsia="仿宋_GB2312"/>
          <w:b/>
          <w:sz w:val="32"/>
          <w:highlight w:val="none"/>
          <w:lang w:val="en-US" w:eastAsia="zh-CN"/>
        </w:rPr>
        <w:t>目标完成情况分析</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highlight w:val="none"/>
        </w:rPr>
      </w:pPr>
      <w:r>
        <w:rPr>
          <w:rFonts w:hint="eastAsia" w:ascii="Times New Roman" w:eastAsia="仿宋_GB2312"/>
          <w:sz w:val="32"/>
          <w:highlight w:val="none"/>
        </w:rPr>
        <w:t>履职效果指标包括部门履职</w:t>
      </w:r>
      <w:r>
        <w:rPr>
          <w:rFonts w:hint="eastAsia" w:ascii="Times New Roman" w:eastAsia="仿宋_GB2312"/>
          <w:sz w:val="32"/>
          <w:highlight w:val="none"/>
          <w:lang w:val="en-US" w:eastAsia="zh-CN"/>
        </w:rPr>
        <w:t>目标</w:t>
      </w:r>
      <w:r>
        <w:rPr>
          <w:rFonts w:hint="eastAsia" w:ascii="Times New Roman" w:eastAsia="仿宋_GB2312"/>
          <w:sz w:val="32"/>
          <w:highlight w:val="none"/>
        </w:rPr>
        <w:t>、</w:t>
      </w:r>
      <w:r>
        <w:rPr>
          <w:rFonts w:hint="eastAsia" w:ascii="Times New Roman" w:eastAsia="仿宋_GB2312"/>
          <w:sz w:val="32"/>
          <w:highlight w:val="none"/>
          <w:lang w:val="en-US" w:eastAsia="zh-CN"/>
        </w:rPr>
        <w:t>部门效果及</w:t>
      </w:r>
      <w:r>
        <w:rPr>
          <w:rFonts w:hint="eastAsia" w:ascii="Times New Roman" w:eastAsia="仿宋_GB2312"/>
          <w:sz w:val="32"/>
          <w:highlight w:val="none"/>
        </w:rPr>
        <w:t>社会影响</w:t>
      </w:r>
      <w:r>
        <w:rPr>
          <w:rFonts w:hint="eastAsia" w:ascii="Times New Roman" w:eastAsia="仿宋_GB2312"/>
          <w:sz w:val="32"/>
          <w:highlight w:val="none"/>
          <w:lang w:val="en-US" w:eastAsia="zh-CN"/>
        </w:rPr>
        <w:t>13</w:t>
      </w:r>
      <w:r>
        <w:rPr>
          <w:rFonts w:hint="eastAsia" w:ascii="Times New Roman" w:eastAsia="仿宋_GB2312"/>
          <w:sz w:val="32"/>
          <w:highlight w:val="none"/>
        </w:rPr>
        <w:t>个二级指标，下设</w:t>
      </w:r>
      <w:r>
        <w:rPr>
          <w:rFonts w:hint="eastAsia" w:ascii="Times New Roman" w:eastAsia="仿宋_GB2312"/>
          <w:sz w:val="32"/>
          <w:highlight w:val="none"/>
          <w:lang w:val="en-US" w:eastAsia="zh-CN"/>
        </w:rPr>
        <w:t>17</w:t>
      </w:r>
      <w:r>
        <w:rPr>
          <w:rFonts w:hint="eastAsia" w:ascii="Times New Roman" w:eastAsia="仿宋_GB2312"/>
          <w:sz w:val="32"/>
          <w:highlight w:val="none"/>
        </w:rPr>
        <w:t>个三级指标。履职效果指标分值</w:t>
      </w:r>
      <w:r>
        <w:rPr>
          <w:rFonts w:hint="eastAsia" w:ascii="Times New Roman" w:eastAsia="仿宋_GB2312"/>
          <w:sz w:val="32"/>
          <w:highlight w:val="none"/>
          <w:lang w:val="en-US" w:eastAsia="zh-CN"/>
        </w:rPr>
        <w:t>50</w:t>
      </w:r>
      <w:r>
        <w:rPr>
          <w:rFonts w:hint="eastAsia" w:ascii="Times New Roman" w:eastAsia="仿宋_GB2312"/>
          <w:sz w:val="32"/>
          <w:highlight w:val="none"/>
        </w:rPr>
        <w:t>分，自评</w:t>
      </w:r>
      <w:r>
        <w:rPr>
          <w:rFonts w:ascii="Times New Roman" w:eastAsia="仿宋_GB2312"/>
          <w:sz w:val="32"/>
          <w:highlight w:val="none"/>
        </w:rPr>
        <w:t>得</w:t>
      </w:r>
      <w:r>
        <w:rPr>
          <w:rFonts w:hint="eastAsia" w:ascii="Times New Roman" w:eastAsia="仿宋_GB2312"/>
          <w:sz w:val="32"/>
          <w:highlight w:val="none"/>
        </w:rPr>
        <w:t>分</w:t>
      </w:r>
      <w:r>
        <w:rPr>
          <w:rFonts w:hint="eastAsia" w:ascii="Times New Roman" w:eastAsia="仿宋_GB2312"/>
          <w:sz w:val="32"/>
          <w:highlight w:val="none"/>
          <w:lang w:val="en-US" w:eastAsia="zh-CN"/>
        </w:rPr>
        <w:t>50</w:t>
      </w:r>
      <w:r>
        <w:rPr>
          <w:rFonts w:hint="eastAsia" w:ascii="Times New Roman" w:eastAsia="仿宋_GB2312"/>
          <w:sz w:val="32"/>
          <w:highlight w:val="none"/>
        </w:rPr>
        <w:t>分，</w:t>
      </w:r>
      <w:r>
        <w:rPr>
          <w:rFonts w:ascii="Times New Roman" w:eastAsia="仿宋_GB2312"/>
          <w:sz w:val="32"/>
          <w:highlight w:val="none"/>
        </w:rPr>
        <w:t>得分率</w:t>
      </w:r>
      <w:r>
        <w:rPr>
          <w:rFonts w:hint="eastAsia" w:ascii="Times New Roman"/>
          <w:sz w:val="32"/>
          <w:highlight w:val="none"/>
          <w:lang w:val="en-US" w:eastAsia="zh-CN"/>
        </w:rPr>
        <w:t>为</w:t>
      </w:r>
      <w:r>
        <w:rPr>
          <w:rFonts w:hint="eastAsia" w:ascii="Times New Roman" w:eastAsia="仿宋_GB2312"/>
          <w:sz w:val="32"/>
          <w:highlight w:val="none"/>
          <w:lang w:val="en-US" w:eastAsia="zh-CN"/>
        </w:rPr>
        <w:t>100</w:t>
      </w:r>
      <w:r>
        <w:rPr>
          <w:rFonts w:ascii="Times New Roman" w:eastAsia="仿宋_GB2312"/>
          <w:sz w:val="32"/>
          <w:highlight w:val="none"/>
        </w:rPr>
        <w:t>%</w:t>
      </w:r>
      <w:r>
        <w:rPr>
          <w:rFonts w:hint="eastAsia" w:ascii="Times New Roman" w:eastAsia="仿宋_GB2312"/>
          <w:sz w:val="32"/>
          <w:highlight w:val="none"/>
        </w:rPr>
        <w:t>。</w:t>
      </w:r>
    </w:p>
    <w:tbl>
      <w:tblPr>
        <w:tblStyle w:val="21"/>
        <w:tblW w:w="9039"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45"/>
        <w:gridCol w:w="1825"/>
        <w:gridCol w:w="1559"/>
        <w:gridCol w:w="241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245"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rPr>
                <w:rFonts w:ascii="宋体" w:hAnsi="宋体" w:cs="宋体"/>
                <w:b/>
                <w:color w:val="000000"/>
                <w:kern w:val="0"/>
                <w:sz w:val="24"/>
                <w:highlight w:val="none"/>
              </w:rPr>
            </w:pPr>
            <w:r>
              <w:rPr>
                <w:rFonts w:hint="eastAsia" w:ascii="宋体" w:hAnsi="宋体" w:cs="宋体"/>
                <w:b/>
                <w:color w:val="000000"/>
                <w:kern w:val="0"/>
                <w:sz w:val="24"/>
                <w:highlight w:val="none"/>
              </w:rPr>
              <w:t>二级指标</w:t>
            </w:r>
          </w:p>
        </w:tc>
        <w:tc>
          <w:tcPr>
            <w:tcW w:w="1825"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rPr>
                <w:rFonts w:ascii="宋体" w:hAnsi="宋体" w:cs="宋体"/>
                <w:b/>
                <w:color w:val="000000"/>
                <w:kern w:val="0"/>
                <w:sz w:val="24"/>
                <w:highlight w:val="none"/>
              </w:rPr>
            </w:pPr>
            <w:r>
              <w:rPr>
                <w:rFonts w:hint="eastAsia" w:ascii="宋体" w:hAnsi="宋体" w:cs="宋体"/>
                <w:b/>
                <w:color w:val="000000"/>
                <w:kern w:val="0"/>
                <w:sz w:val="24"/>
                <w:highlight w:val="none"/>
              </w:rPr>
              <w:t>分值</w:t>
            </w:r>
          </w:p>
        </w:tc>
        <w:tc>
          <w:tcPr>
            <w:tcW w:w="1559"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rPr>
                <w:rFonts w:ascii="宋体" w:hAnsi="宋体" w:cs="宋体"/>
                <w:b/>
                <w:color w:val="000000"/>
                <w:kern w:val="0"/>
                <w:sz w:val="24"/>
                <w:highlight w:val="none"/>
              </w:rPr>
            </w:pPr>
            <w:r>
              <w:rPr>
                <w:rFonts w:hint="eastAsia" w:ascii="宋体" w:hAnsi="宋体" w:cs="宋体"/>
                <w:b/>
                <w:color w:val="000000"/>
                <w:kern w:val="0"/>
                <w:sz w:val="24"/>
                <w:highlight w:val="none"/>
              </w:rPr>
              <w:t>自评</w:t>
            </w:r>
            <w:r>
              <w:rPr>
                <w:rFonts w:ascii="宋体" w:hAnsi="宋体" w:cs="宋体"/>
                <w:b/>
                <w:color w:val="000000"/>
                <w:kern w:val="0"/>
                <w:sz w:val="24"/>
                <w:highlight w:val="none"/>
              </w:rPr>
              <w:t>得分</w:t>
            </w:r>
          </w:p>
        </w:tc>
        <w:tc>
          <w:tcPr>
            <w:tcW w:w="2410"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rPr>
                <w:rFonts w:ascii="宋体" w:hAnsi="宋体" w:cs="宋体"/>
                <w:b/>
                <w:color w:val="000000"/>
                <w:kern w:val="0"/>
                <w:sz w:val="24"/>
                <w:highlight w:val="none"/>
              </w:rPr>
            </w:pPr>
            <w:r>
              <w:rPr>
                <w:rFonts w:hint="eastAsia" w:ascii="宋体" w:hAnsi="宋体" w:cs="宋体"/>
                <w:b/>
                <w:color w:val="000000"/>
                <w:kern w:val="0"/>
                <w:sz w:val="24"/>
                <w:highlight w:val="none"/>
              </w:rPr>
              <w:t>得分率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245" w:type="dxa"/>
            <w:vAlign w:val="center"/>
          </w:tcPr>
          <w:p>
            <w:pPr>
              <w:pageBreakBefore w:val="0"/>
              <w:widowControl/>
              <w:kinsoku/>
              <w:wordWrap/>
              <w:overflowPunct w:val="0"/>
              <w:topLinePunct w:val="0"/>
              <w:autoSpaceDE w:val="0"/>
              <w:autoSpaceDN w:val="0"/>
              <w:bidi w:val="0"/>
              <w:adjustRightInd/>
              <w:snapToGrid/>
              <w:spacing w:line="240" w:lineRule="auto"/>
              <w:jc w:val="left"/>
              <w:rPr>
                <w:rFonts w:hAnsi="宋体" w:cs="宋体"/>
                <w:color w:val="000000"/>
                <w:kern w:val="0"/>
                <w:sz w:val="24"/>
                <w:szCs w:val="28"/>
                <w:highlight w:val="none"/>
              </w:rPr>
            </w:pPr>
            <w:r>
              <w:rPr>
                <w:rFonts w:hint="eastAsia" w:hAnsi="宋体" w:cs="宋体"/>
                <w:color w:val="000000"/>
                <w:kern w:val="0"/>
                <w:sz w:val="24"/>
                <w:szCs w:val="28"/>
                <w:highlight w:val="none"/>
              </w:rPr>
              <w:t>部门</w:t>
            </w:r>
            <w:r>
              <w:rPr>
                <w:rFonts w:hAnsi="宋体" w:cs="宋体"/>
                <w:color w:val="000000"/>
                <w:kern w:val="0"/>
                <w:sz w:val="24"/>
                <w:szCs w:val="28"/>
                <w:highlight w:val="none"/>
              </w:rPr>
              <w:t>履职</w:t>
            </w:r>
            <w:r>
              <w:rPr>
                <w:rFonts w:hint="eastAsia" w:hAnsi="宋体" w:cs="宋体"/>
                <w:color w:val="000000"/>
                <w:kern w:val="0"/>
                <w:sz w:val="24"/>
                <w:szCs w:val="28"/>
                <w:highlight w:val="none"/>
              </w:rPr>
              <w:t>指标</w:t>
            </w:r>
            <w:r>
              <w:rPr>
                <w:rFonts w:hAnsi="宋体" w:cs="宋体"/>
                <w:color w:val="000000"/>
                <w:kern w:val="0"/>
                <w:sz w:val="24"/>
                <w:szCs w:val="28"/>
                <w:highlight w:val="none"/>
              </w:rPr>
              <w:t xml:space="preserve"> </w:t>
            </w:r>
          </w:p>
        </w:tc>
        <w:tc>
          <w:tcPr>
            <w:tcW w:w="1825"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17</w:t>
            </w:r>
          </w:p>
        </w:tc>
        <w:tc>
          <w:tcPr>
            <w:tcW w:w="1559" w:type="dxa"/>
            <w:vAlign w:val="center"/>
          </w:tcPr>
          <w:p>
            <w:pPr>
              <w:pageBreakBefore w:val="0"/>
              <w:widowControl/>
              <w:kinsoku/>
              <w:wordWrap/>
              <w:overflowPunct w:val="0"/>
              <w:topLinePunct w:val="0"/>
              <w:autoSpaceDE w:val="0"/>
              <w:autoSpaceDN w:val="0"/>
              <w:bidi w:val="0"/>
              <w:adjustRightInd/>
              <w:snapToGrid/>
              <w:spacing w:line="240" w:lineRule="auto"/>
              <w:ind w:firstLine="440" w:firstLineChars="200"/>
              <w:jc w:val="center"/>
              <w:textAlignment w:val="center"/>
              <w:rPr>
                <w:rFonts w:hint="default" w:ascii="宋体" w:hAnsi="宋体" w:eastAsia="宋体" w:cs="宋体"/>
                <w:color w:val="000000"/>
                <w:kern w:val="0"/>
                <w:sz w:val="22"/>
                <w:szCs w:val="22"/>
                <w:highlight w:val="none"/>
                <w:lang w:val="en-US"/>
              </w:rPr>
            </w:pPr>
            <w:r>
              <w:rPr>
                <w:rFonts w:hint="eastAsia" w:ascii="宋体" w:hAnsi="宋体" w:eastAsia="宋体" w:cs="宋体"/>
                <w:color w:val="000000"/>
                <w:kern w:val="0"/>
                <w:sz w:val="22"/>
                <w:szCs w:val="22"/>
                <w:highlight w:val="none"/>
                <w:lang w:val="en-US" w:eastAsia="zh-CN"/>
              </w:rPr>
              <w:t>17</w:t>
            </w:r>
          </w:p>
        </w:tc>
        <w:tc>
          <w:tcPr>
            <w:tcW w:w="2410"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100</w:t>
            </w:r>
            <w:r>
              <w:rPr>
                <w:rFonts w:hint="eastAsia" w:ascii="宋体" w:hAnsi="宋体" w:eastAsia="宋体" w:cs="宋体"/>
                <w:color w:val="000000"/>
                <w:kern w:val="0"/>
                <w:sz w:val="22"/>
                <w:szCs w:val="22"/>
                <w:highlight w:val="none"/>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245" w:type="dxa"/>
            <w:vAlign w:val="center"/>
          </w:tcPr>
          <w:p>
            <w:pPr>
              <w:pageBreakBefore w:val="0"/>
              <w:widowControl/>
              <w:kinsoku/>
              <w:wordWrap/>
              <w:overflowPunct w:val="0"/>
              <w:topLinePunct w:val="0"/>
              <w:autoSpaceDE w:val="0"/>
              <w:autoSpaceDN w:val="0"/>
              <w:bidi w:val="0"/>
              <w:adjustRightInd/>
              <w:snapToGrid/>
              <w:spacing w:line="240" w:lineRule="auto"/>
              <w:jc w:val="left"/>
              <w:rPr>
                <w:rFonts w:hint="default" w:hAnsi="宋体" w:eastAsia="仿宋_GB2312" w:cs="宋体"/>
                <w:color w:val="000000"/>
                <w:kern w:val="0"/>
                <w:sz w:val="24"/>
                <w:szCs w:val="28"/>
                <w:highlight w:val="none"/>
                <w:lang w:val="en-US" w:eastAsia="zh-CN"/>
              </w:rPr>
            </w:pPr>
            <w:r>
              <w:rPr>
                <w:rFonts w:hint="eastAsia" w:hAnsi="宋体" w:cs="宋体"/>
                <w:color w:val="000000"/>
                <w:kern w:val="0"/>
                <w:sz w:val="24"/>
                <w:szCs w:val="28"/>
                <w:highlight w:val="none"/>
                <w:lang w:val="en-US" w:eastAsia="zh-CN"/>
              </w:rPr>
              <w:t>部门效果</w:t>
            </w:r>
          </w:p>
        </w:tc>
        <w:tc>
          <w:tcPr>
            <w:tcW w:w="1825"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17</w:t>
            </w:r>
          </w:p>
        </w:tc>
        <w:tc>
          <w:tcPr>
            <w:tcW w:w="1559" w:type="dxa"/>
            <w:vAlign w:val="center"/>
          </w:tcPr>
          <w:p>
            <w:pPr>
              <w:pageBreakBefore w:val="0"/>
              <w:widowControl/>
              <w:kinsoku/>
              <w:wordWrap/>
              <w:overflowPunct w:val="0"/>
              <w:topLinePunct w:val="0"/>
              <w:autoSpaceDE w:val="0"/>
              <w:autoSpaceDN w:val="0"/>
              <w:bidi w:val="0"/>
              <w:adjustRightInd/>
              <w:snapToGrid/>
              <w:spacing w:line="240" w:lineRule="auto"/>
              <w:ind w:firstLine="440" w:firstLineChars="20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17</w:t>
            </w:r>
          </w:p>
        </w:tc>
        <w:tc>
          <w:tcPr>
            <w:tcW w:w="2410"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245" w:type="dxa"/>
            <w:vAlign w:val="center"/>
          </w:tcPr>
          <w:p>
            <w:pPr>
              <w:pageBreakBefore w:val="0"/>
              <w:widowControl/>
              <w:kinsoku/>
              <w:wordWrap/>
              <w:overflowPunct w:val="0"/>
              <w:topLinePunct w:val="0"/>
              <w:autoSpaceDE w:val="0"/>
              <w:autoSpaceDN w:val="0"/>
              <w:bidi w:val="0"/>
              <w:adjustRightInd/>
              <w:snapToGrid/>
              <w:spacing w:line="240" w:lineRule="auto"/>
              <w:jc w:val="left"/>
              <w:rPr>
                <w:rFonts w:hAnsi="宋体" w:cs="宋体"/>
                <w:color w:val="000000"/>
                <w:kern w:val="0"/>
                <w:sz w:val="24"/>
                <w:szCs w:val="28"/>
                <w:highlight w:val="none"/>
              </w:rPr>
            </w:pPr>
            <w:r>
              <w:rPr>
                <w:rFonts w:hint="eastAsia" w:hAnsi="宋体" w:cs="宋体"/>
                <w:color w:val="000000"/>
                <w:kern w:val="0"/>
                <w:sz w:val="24"/>
                <w:szCs w:val="28"/>
                <w:highlight w:val="none"/>
              </w:rPr>
              <w:t>社会影响</w:t>
            </w:r>
          </w:p>
        </w:tc>
        <w:tc>
          <w:tcPr>
            <w:tcW w:w="1825"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16</w:t>
            </w:r>
          </w:p>
        </w:tc>
        <w:tc>
          <w:tcPr>
            <w:tcW w:w="1559" w:type="dxa"/>
            <w:vAlign w:val="center"/>
          </w:tcPr>
          <w:p>
            <w:pPr>
              <w:pageBreakBefore w:val="0"/>
              <w:widowControl/>
              <w:kinsoku/>
              <w:wordWrap/>
              <w:overflowPunct w:val="0"/>
              <w:topLinePunct w:val="0"/>
              <w:autoSpaceDE w:val="0"/>
              <w:autoSpaceDN w:val="0"/>
              <w:bidi w:val="0"/>
              <w:adjustRightInd/>
              <w:snapToGrid/>
              <w:spacing w:line="240" w:lineRule="auto"/>
              <w:ind w:firstLine="440" w:firstLineChars="20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16</w:t>
            </w:r>
          </w:p>
        </w:tc>
        <w:tc>
          <w:tcPr>
            <w:tcW w:w="2410"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3245"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rPr>
                <w:rFonts w:ascii="宋体" w:hAnsi="宋体" w:cs="宋体"/>
                <w:b/>
                <w:color w:val="000000"/>
                <w:kern w:val="0"/>
                <w:sz w:val="24"/>
                <w:highlight w:val="none"/>
              </w:rPr>
            </w:pPr>
            <w:r>
              <w:rPr>
                <w:rFonts w:hint="eastAsia" w:ascii="宋体" w:hAnsi="宋体" w:cs="宋体"/>
                <w:b/>
                <w:color w:val="000000"/>
                <w:kern w:val="0"/>
                <w:sz w:val="24"/>
                <w:highlight w:val="none"/>
              </w:rPr>
              <w:t>合计</w:t>
            </w:r>
          </w:p>
        </w:tc>
        <w:tc>
          <w:tcPr>
            <w:tcW w:w="1825"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50</w:t>
            </w:r>
          </w:p>
        </w:tc>
        <w:tc>
          <w:tcPr>
            <w:tcW w:w="1559"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hint="default" w:ascii="宋体" w:hAnsi="宋体" w:eastAsia="宋体" w:cs="宋体"/>
                <w:b/>
                <w:color w:val="000000"/>
                <w:kern w:val="0"/>
                <w:sz w:val="22"/>
                <w:szCs w:val="22"/>
                <w:highlight w:val="none"/>
                <w:lang w:val="en-US" w:eastAsia="zh-CN"/>
              </w:rPr>
            </w:pPr>
            <w:r>
              <w:rPr>
                <w:rFonts w:hint="eastAsia" w:ascii="宋体" w:hAnsi="宋体" w:eastAsia="宋体" w:cs="宋体"/>
                <w:b/>
                <w:color w:val="000000"/>
                <w:kern w:val="0"/>
                <w:sz w:val="22"/>
                <w:szCs w:val="22"/>
                <w:highlight w:val="none"/>
                <w:lang w:val="en-US" w:eastAsia="zh-CN"/>
              </w:rPr>
              <w:t>50</w:t>
            </w:r>
          </w:p>
        </w:tc>
        <w:tc>
          <w:tcPr>
            <w:tcW w:w="2410"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lang w:val="en-US" w:eastAsia="zh-CN"/>
              </w:rPr>
              <w:t>100</w:t>
            </w:r>
            <w:r>
              <w:rPr>
                <w:rFonts w:hint="eastAsia" w:ascii="宋体" w:hAnsi="宋体" w:eastAsia="宋体" w:cs="宋体"/>
                <w:b/>
                <w:color w:val="000000"/>
                <w:kern w:val="0"/>
                <w:sz w:val="22"/>
                <w:szCs w:val="22"/>
                <w:highlight w:val="none"/>
              </w:rPr>
              <w:t>%</w:t>
            </w:r>
          </w:p>
        </w:tc>
      </w:tr>
    </w:tbl>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bCs/>
          <w:sz w:val="32"/>
        </w:rPr>
      </w:pPr>
      <w:r>
        <w:rPr>
          <w:rFonts w:hint="eastAsia" w:ascii="Times New Roman" w:eastAsia="仿宋_GB2312"/>
          <w:b/>
          <w:bCs/>
          <w:sz w:val="32"/>
        </w:rPr>
        <w:t>（1）部门履职目标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cstheme="minorBidi"/>
          <w:b/>
          <w:bCs/>
          <w:kern w:val="2"/>
          <w:sz w:val="32"/>
          <w:szCs w:val="28"/>
          <w:lang w:val="en-US" w:eastAsia="zh-CN" w:bidi="ar-SA"/>
        </w:rPr>
      </w:pPr>
      <w:r>
        <w:rPr>
          <w:rFonts w:hint="eastAsia" w:ascii="Times New Roman" w:eastAsia="仿宋_GB2312"/>
          <w:sz w:val="32"/>
          <w:highlight w:val="none"/>
        </w:rPr>
        <w:t>部门履职指标分值</w:t>
      </w:r>
      <w:r>
        <w:rPr>
          <w:rFonts w:hint="eastAsia" w:ascii="Times New Roman" w:eastAsia="仿宋_GB2312"/>
          <w:sz w:val="32"/>
          <w:highlight w:val="none"/>
          <w:lang w:val="en-US" w:eastAsia="zh-CN"/>
        </w:rPr>
        <w:t>17</w:t>
      </w:r>
      <w:r>
        <w:rPr>
          <w:rFonts w:hint="eastAsia" w:ascii="Times New Roman" w:eastAsia="仿宋_GB2312"/>
          <w:sz w:val="32"/>
          <w:highlight w:val="none"/>
        </w:rPr>
        <w:t>分，自评得分</w:t>
      </w:r>
      <w:r>
        <w:rPr>
          <w:rFonts w:hint="eastAsia" w:ascii="Times New Roman" w:eastAsia="仿宋_GB2312"/>
          <w:sz w:val="32"/>
          <w:highlight w:val="none"/>
          <w:lang w:val="en-US" w:eastAsia="zh-CN"/>
        </w:rPr>
        <w:t>17</w:t>
      </w:r>
      <w:r>
        <w:rPr>
          <w:rFonts w:hint="eastAsia" w:ascii="Times New Roman" w:eastAsia="仿宋_GB2312"/>
          <w:sz w:val="32"/>
          <w:highlight w:val="none"/>
        </w:rPr>
        <w:t>分，得分率为</w:t>
      </w:r>
      <w:r>
        <w:rPr>
          <w:rFonts w:hint="eastAsia" w:ascii="Times New Roman" w:eastAsia="仿宋_GB2312"/>
          <w:sz w:val="32"/>
          <w:highlight w:val="none"/>
          <w:lang w:val="en-US" w:eastAsia="zh-CN"/>
        </w:rPr>
        <w:t>100</w:t>
      </w:r>
      <w:r>
        <w:rPr>
          <w:rFonts w:hint="eastAsia" w:ascii="Times New Roman" w:eastAsia="仿宋_GB2312"/>
          <w:sz w:val="32"/>
          <w:highlight w:val="none"/>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hAnsi="宋体" w:eastAsia="仿宋_GB2312"/>
          <w:b w:val="0"/>
          <w:bCs w:val="0"/>
          <w:sz w:val="32"/>
          <w:szCs w:val="28"/>
        </w:rPr>
      </w:pPr>
      <w:r>
        <w:rPr>
          <w:rFonts w:hint="eastAsia" w:ascii="Times New Roman" w:hAnsi="宋体" w:eastAsia="仿宋_GB2312" w:cstheme="minorBidi"/>
          <w:b/>
          <w:bCs/>
          <w:kern w:val="2"/>
          <w:sz w:val="32"/>
          <w:szCs w:val="28"/>
          <w:lang w:val="en-US" w:eastAsia="zh-CN" w:bidi="ar-SA"/>
        </w:rPr>
        <w:t>审限内结案率：</w:t>
      </w:r>
      <w:r>
        <w:rPr>
          <w:rFonts w:hint="eastAsia" w:ascii="Times New Roman" w:hAnsi="宋体" w:eastAsia="仿宋_GB2312"/>
          <w:b w:val="0"/>
          <w:bCs w:val="0"/>
          <w:sz w:val="32"/>
          <w:szCs w:val="28"/>
          <w:lang w:eastAsia="zh-CN"/>
        </w:rPr>
        <w:t>我院202</w:t>
      </w:r>
      <w:r>
        <w:rPr>
          <w:rFonts w:hint="eastAsia" w:ascii="Times New Roman" w:hAnsi="宋体" w:eastAsia="仿宋_GB2312"/>
          <w:b w:val="0"/>
          <w:bCs w:val="0"/>
          <w:sz w:val="32"/>
          <w:szCs w:val="28"/>
          <w:lang w:val="en-US" w:eastAsia="zh-CN"/>
        </w:rPr>
        <w:t>2</w:t>
      </w:r>
      <w:r>
        <w:rPr>
          <w:rFonts w:hint="eastAsia" w:ascii="Times New Roman" w:hAnsi="宋体" w:eastAsia="仿宋_GB2312"/>
          <w:b w:val="0"/>
          <w:bCs w:val="0"/>
          <w:sz w:val="32"/>
          <w:szCs w:val="28"/>
          <w:lang w:eastAsia="zh-CN"/>
        </w:rPr>
        <w:t>年在法定审限内所受理案件全部审判完成，法定审限内结案率100%</w:t>
      </w:r>
      <w:r>
        <w:rPr>
          <w:rFonts w:hint="eastAsia" w:ascii="Times New Roman" w:hAnsi="宋体" w:eastAsia="仿宋_GB2312"/>
          <w:b w:val="0"/>
          <w:bCs w:val="0"/>
          <w:sz w:val="32"/>
          <w:szCs w:val="28"/>
          <w:lang w:val="en-US" w:eastAsia="zh-CN"/>
        </w:rPr>
        <w:t>，</w:t>
      </w:r>
      <w:r>
        <w:rPr>
          <w:rFonts w:hint="eastAsia" w:ascii="Times New Roman" w:hAnsi="宋体" w:eastAsia="仿宋_GB2312"/>
          <w:b w:val="0"/>
          <w:bCs w:val="0"/>
          <w:sz w:val="32"/>
          <w:szCs w:val="28"/>
        </w:rPr>
        <w:t>该指标分值</w:t>
      </w:r>
      <w:r>
        <w:rPr>
          <w:rFonts w:hint="eastAsia" w:ascii="Times New Roman" w:hAnsi="宋体" w:eastAsia="仿宋_GB2312"/>
          <w:b w:val="0"/>
          <w:bCs w:val="0"/>
          <w:sz w:val="32"/>
          <w:szCs w:val="28"/>
          <w:lang w:val="en-US" w:eastAsia="zh-CN"/>
        </w:rPr>
        <w:t>17</w:t>
      </w:r>
      <w:r>
        <w:rPr>
          <w:rFonts w:hint="eastAsia" w:ascii="Times New Roman" w:hAnsi="宋体" w:eastAsia="仿宋_GB2312"/>
          <w:b w:val="0"/>
          <w:bCs w:val="0"/>
          <w:sz w:val="32"/>
          <w:szCs w:val="28"/>
        </w:rPr>
        <w:t>分，自评得分为</w:t>
      </w:r>
      <w:r>
        <w:rPr>
          <w:rFonts w:hint="eastAsia" w:ascii="Times New Roman" w:hAnsi="宋体" w:eastAsia="仿宋_GB2312"/>
          <w:b w:val="0"/>
          <w:bCs w:val="0"/>
          <w:sz w:val="32"/>
          <w:szCs w:val="28"/>
          <w:lang w:val="en-US" w:eastAsia="zh-CN"/>
        </w:rPr>
        <w:t>17</w:t>
      </w:r>
      <w:r>
        <w:rPr>
          <w:rFonts w:hint="eastAsia" w:ascii="Times New Roman" w:hAnsi="宋体" w:eastAsia="仿宋_GB2312"/>
          <w:b w:val="0"/>
          <w:bCs w:val="0"/>
          <w:sz w:val="32"/>
          <w:szCs w:val="28"/>
        </w:rPr>
        <w:t>分，得分率为</w:t>
      </w:r>
      <w:r>
        <w:rPr>
          <w:rFonts w:hint="eastAsia" w:ascii="Times New Roman" w:hAnsi="宋体" w:eastAsia="仿宋_GB2312"/>
          <w:b w:val="0"/>
          <w:bCs w:val="0"/>
          <w:sz w:val="32"/>
          <w:szCs w:val="28"/>
          <w:lang w:val="en-US" w:eastAsia="zh-CN"/>
        </w:rPr>
        <w:t>100</w:t>
      </w:r>
      <w:r>
        <w:rPr>
          <w:rFonts w:hint="eastAsia" w:ascii="Times New Roman" w:hAnsi="宋体" w:eastAsia="仿宋_GB2312"/>
          <w:b w:val="0"/>
          <w:bCs w:val="0"/>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sz w:val="32"/>
          <w:szCs w:val="28"/>
        </w:rPr>
      </w:pPr>
      <w:r>
        <w:rPr>
          <w:rFonts w:hint="eastAsia" w:ascii="Times New Roman" w:hAnsi="宋体" w:eastAsia="仿宋_GB2312"/>
          <w:b/>
          <w:bCs/>
          <w:sz w:val="32"/>
          <w:szCs w:val="28"/>
        </w:rPr>
        <w:t>（2）部门效果目标</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仿宋" w:eastAsia="仿宋_GB2312"/>
          <w:b/>
          <w:bCs/>
          <w:spacing w:val="4"/>
          <w:sz w:val="32"/>
          <w:szCs w:val="28"/>
          <w:lang w:val="en-US" w:eastAsia="zh-CN"/>
        </w:rPr>
      </w:pPr>
      <w:r>
        <w:rPr>
          <w:rFonts w:hint="eastAsia" w:ascii="Times New Roman" w:eastAsia="仿宋_GB2312"/>
          <w:sz w:val="32"/>
          <w:highlight w:val="none"/>
          <w:lang w:val="en-US" w:eastAsia="zh-CN"/>
        </w:rPr>
        <w:t>部门效果</w:t>
      </w:r>
      <w:r>
        <w:rPr>
          <w:rFonts w:hint="eastAsia" w:ascii="Times New Roman" w:eastAsia="仿宋_GB2312"/>
          <w:sz w:val="32"/>
          <w:highlight w:val="none"/>
        </w:rPr>
        <w:t>指标分值</w:t>
      </w:r>
      <w:r>
        <w:rPr>
          <w:rFonts w:hint="eastAsia" w:ascii="Times New Roman" w:eastAsia="仿宋_GB2312"/>
          <w:sz w:val="32"/>
          <w:highlight w:val="none"/>
          <w:lang w:val="en-US" w:eastAsia="zh-CN"/>
        </w:rPr>
        <w:t>17</w:t>
      </w:r>
      <w:r>
        <w:rPr>
          <w:rFonts w:hint="eastAsia" w:ascii="Times New Roman" w:eastAsia="仿宋_GB2312"/>
          <w:sz w:val="32"/>
          <w:highlight w:val="none"/>
        </w:rPr>
        <w:t>分，自评得分</w:t>
      </w:r>
      <w:r>
        <w:rPr>
          <w:rFonts w:hint="eastAsia" w:ascii="Times New Roman" w:eastAsia="仿宋_GB2312"/>
          <w:sz w:val="32"/>
          <w:highlight w:val="none"/>
          <w:lang w:val="en-US" w:eastAsia="zh-CN"/>
        </w:rPr>
        <w:t>17</w:t>
      </w:r>
      <w:r>
        <w:rPr>
          <w:rFonts w:hint="eastAsia" w:ascii="Times New Roman" w:eastAsia="仿宋_GB2312"/>
          <w:sz w:val="32"/>
          <w:highlight w:val="none"/>
        </w:rPr>
        <w:t>分，得分率为</w:t>
      </w:r>
      <w:r>
        <w:rPr>
          <w:rFonts w:hint="eastAsia" w:ascii="Times New Roman" w:eastAsia="仿宋_GB2312"/>
          <w:sz w:val="32"/>
          <w:highlight w:val="none"/>
          <w:lang w:val="en-US" w:eastAsia="zh-CN"/>
        </w:rPr>
        <w:t>100</w:t>
      </w:r>
      <w:r>
        <w:rPr>
          <w:rFonts w:hint="eastAsia" w:ascii="Times New Roman" w:eastAsia="仿宋_GB2312"/>
          <w:sz w:val="32"/>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val="0"/>
          <w:bCs w:val="0"/>
          <w:sz w:val="32"/>
          <w:lang w:val="en-US" w:eastAsia="zh-CN"/>
        </w:rPr>
      </w:pPr>
      <w:r>
        <w:rPr>
          <w:rFonts w:hint="eastAsia" w:ascii="Times New Roman" w:eastAsia="仿宋_GB2312"/>
          <w:b/>
          <w:bCs/>
          <w:sz w:val="32"/>
          <w:lang w:val="en-US" w:eastAsia="zh-CN"/>
        </w:rPr>
        <w:t>案件受理及时性：</w:t>
      </w:r>
      <w:r>
        <w:rPr>
          <w:rFonts w:hint="eastAsia" w:ascii="Times New Roman" w:eastAsia="仿宋_GB2312"/>
          <w:b w:val="0"/>
          <w:bCs w:val="0"/>
          <w:sz w:val="32"/>
          <w:lang w:val="en-US" w:eastAsia="zh-CN"/>
        </w:rPr>
        <w:t>我院</w:t>
      </w:r>
      <w:r>
        <w:rPr>
          <w:rFonts w:hint="default" w:ascii="Times New Roman" w:eastAsia="仿宋_GB2312"/>
          <w:b w:val="0"/>
          <w:bCs w:val="0"/>
          <w:sz w:val="32"/>
          <w:lang w:val="en-US" w:eastAsia="zh-CN"/>
        </w:rPr>
        <w:t>推行“就地受理</w:t>
      </w:r>
      <w:r>
        <w:rPr>
          <w:rFonts w:hint="eastAsia" w:ascii="Times New Roman"/>
          <w:b w:val="0"/>
          <w:bCs w:val="0"/>
          <w:sz w:val="32"/>
          <w:lang w:val="en-US" w:eastAsia="zh-CN"/>
        </w:rPr>
        <w:t>，就</w:t>
      </w:r>
      <w:r>
        <w:rPr>
          <w:rFonts w:hint="default" w:ascii="Times New Roman" w:eastAsia="仿宋_GB2312"/>
          <w:b w:val="0"/>
          <w:bCs w:val="0"/>
          <w:sz w:val="32"/>
          <w:lang w:val="en-US" w:eastAsia="zh-CN"/>
        </w:rPr>
        <w:t>地开庭</w:t>
      </w:r>
      <w:r>
        <w:rPr>
          <w:rFonts w:hint="eastAsia" w:ascii="Times New Roman"/>
          <w:b w:val="0"/>
          <w:bCs w:val="0"/>
          <w:sz w:val="32"/>
          <w:lang w:val="en-US" w:eastAsia="zh-CN"/>
        </w:rPr>
        <w:t>，就</w:t>
      </w:r>
      <w:r>
        <w:rPr>
          <w:rFonts w:hint="default" w:ascii="Times New Roman" w:eastAsia="仿宋_GB2312"/>
          <w:b w:val="0"/>
          <w:bCs w:val="0"/>
          <w:sz w:val="32"/>
          <w:lang w:val="en-US" w:eastAsia="zh-CN"/>
        </w:rPr>
        <w:t>地质证认证</w:t>
      </w:r>
      <w:r>
        <w:rPr>
          <w:rFonts w:hint="eastAsia" w:ascii="Times New Roman"/>
          <w:b w:val="0"/>
          <w:bCs w:val="0"/>
          <w:sz w:val="32"/>
          <w:lang w:val="en-US" w:eastAsia="zh-CN"/>
        </w:rPr>
        <w:t>，就</w:t>
      </w:r>
      <w:r>
        <w:rPr>
          <w:rFonts w:hint="default" w:ascii="Times New Roman" w:eastAsia="仿宋_GB2312"/>
          <w:b w:val="0"/>
          <w:bCs w:val="0"/>
          <w:sz w:val="32"/>
          <w:lang w:val="en-US" w:eastAsia="zh-CN"/>
        </w:rPr>
        <w:t>地调解审判、就地解决纠纷”的“五就地”办案方式</w:t>
      </w:r>
      <w:r>
        <w:rPr>
          <w:rFonts w:hint="eastAsia" w:ascii="Times New Roman" w:eastAsia="仿宋_GB2312"/>
          <w:b w:val="0"/>
          <w:bCs w:val="0"/>
          <w:sz w:val="32"/>
          <w:lang w:val="en-US" w:eastAsia="zh-CN"/>
        </w:rPr>
        <w:t>。各类案件受理及时，达到</w:t>
      </w:r>
      <w:r>
        <w:rPr>
          <w:rFonts w:hint="eastAsia" w:ascii="Times New Roman"/>
          <w:b w:val="0"/>
          <w:bCs w:val="0"/>
          <w:sz w:val="32"/>
          <w:lang w:val="en-US" w:eastAsia="zh-CN"/>
        </w:rPr>
        <w:t>年度</w:t>
      </w:r>
      <w:r>
        <w:rPr>
          <w:rFonts w:hint="eastAsia" w:ascii="Times New Roman" w:eastAsia="仿宋_GB2312"/>
          <w:b w:val="0"/>
          <w:bCs w:val="0"/>
          <w:sz w:val="32"/>
          <w:lang w:val="en-US" w:eastAsia="zh-CN"/>
        </w:rPr>
        <w:t>目标值。该指标分值17分，自评得分为17分，得分率为100%。</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ascii="Times New Roman" w:hAnsi="宋体" w:eastAsia="仿宋_GB2312"/>
          <w:b/>
          <w:bCs/>
          <w:sz w:val="32"/>
          <w:szCs w:val="28"/>
        </w:rPr>
      </w:pPr>
      <w:r>
        <w:rPr>
          <w:rFonts w:hint="eastAsia" w:ascii="Times New Roman" w:hAnsi="宋体" w:eastAsia="仿宋_GB2312"/>
          <w:b/>
          <w:bCs/>
          <w:sz w:val="32"/>
          <w:szCs w:val="28"/>
        </w:rPr>
        <w:t>（3）社会影响</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highlight w:val="none"/>
        </w:rPr>
      </w:pPr>
      <w:r>
        <w:rPr>
          <w:rFonts w:hint="eastAsia" w:ascii="Times New Roman" w:eastAsia="仿宋_GB2312"/>
          <w:sz w:val="32"/>
        </w:rPr>
        <w:t>社会影响</w:t>
      </w:r>
      <w:r>
        <w:rPr>
          <w:rFonts w:hint="eastAsia" w:ascii="Times New Roman" w:eastAsia="仿宋_GB2312"/>
          <w:sz w:val="32"/>
          <w:lang w:val="en-US" w:eastAsia="zh-CN"/>
        </w:rPr>
        <w:t>指标</w:t>
      </w:r>
      <w:r>
        <w:rPr>
          <w:rFonts w:hint="eastAsia" w:ascii="Times New Roman" w:eastAsia="仿宋_GB2312"/>
          <w:sz w:val="32"/>
        </w:rPr>
        <w:t>分值</w:t>
      </w:r>
      <w:r>
        <w:rPr>
          <w:rFonts w:hint="eastAsia" w:ascii="Times New Roman" w:eastAsia="仿宋_GB2312"/>
          <w:sz w:val="32"/>
          <w:lang w:val="en-US" w:eastAsia="zh-CN"/>
        </w:rPr>
        <w:t>16</w:t>
      </w:r>
      <w:r>
        <w:rPr>
          <w:rFonts w:hint="eastAsia" w:ascii="Times New Roman" w:eastAsia="仿宋_GB2312"/>
          <w:sz w:val="32"/>
        </w:rPr>
        <w:t>分</w:t>
      </w:r>
      <w:r>
        <w:rPr>
          <w:rFonts w:hint="eastAsia" w:ascii="Times New Roman" w:eastAsia="仿宋_GB2312"/>
          <w:sz w:val="32"/>
          <w:highlight w:val="none"/>
        </w:rPr>
        <w:t>，自评得分</w:t>
      </w:r>
      <w:r>
        <w:rPr>
          <w:rFonts w:hint="eastAsia" w:ascii="Times New Roman" w:eastAsia="仿宋_GB2312"/>
          <w:sz w:val="32"/>
          <w:highlight w:val="none"/>
          <w:lang w:val="en-US" w:eastAsia="zh-CN"/>
        </w:rPr>
        <w:t>16</w:t>
      </w:r>
      <w:r>
        <w:rPr>
          <w:rFonts w:hint="eastAsia" w:ascii="Times New Roman" w:eastAsia="仿宋_GB2312"/>
          <w:sz w:val="32"/>
          <w:highlight w:val="none"/>
        </w:rPr>
        <w:t>分，得分率</w:t>
      </w:r>
      <w:r>
        <w:rPr>
          <w:rFonts w:hint="eastAsia" w:ascii="Times New Roman"/>
          <w:sz w:val="32"/>
          <w:highlight w:val="none"/>
          <w:lang w:val="en-US" w:eastAsia="zh-CN"/>
        </w:rPr>
        <w:t>为</w:t>
      </w:r>
      <w:r>
        <w:rPr>
          <w:rFonts w:hint="eastAsia" w:ascii="Times New Roman" w:eastAsia="仿宋_GB2312"/>
          <w:sz w:val="32"/>
          <w:highlight w:val="none"/>
          <w:lang w:val="en-US" w:eastAsia="zh-CN"/>
        </w:rPr>
        <w:t>100</w:t>
      </w:r>
      <w:r>
        <w:rPr>
          <w:rFonts w:hint="eastAsia" w:ascii="Times New Roman" w:eastAsia="仿宋_GB2312"/>
          <w:sz w:val="32"/>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val="0"/>
          <w:bCs w:val="0"/>
          <w:sz w:val="32"/>
          <w:szCs w:val="28"/>
          <w:lang w:val="en-US" w:eastAsia="zh-CN"/>
        </w:rPr>
      </w:pPr>
      <w:r>
        <w:rPr>
          <w:rFonts w:hint="eastAsia" w:ascii="Times New Roman" w:eastAsia="仿宋_GB2312"/>
          <w:b/>
          <w:bCs/>
          <w:sz w:val="32"/>
          <w:lang w:val="en-US" w:eastAsia="zh-CN"/>
        </w:rPr>
        <w:t>服判息诉率：</w:t>
      </w:r>
      <w:r>
        <w:rPr>
          <w:rFonts w:hint="eastAsia" w:ascii="Times New Roman" w:eastAsia="仿宋_GB2312"/>
          <w:b w:val="0"/>
          <w:bCs w:val="0"/>
          <w:sz w:val="32"/>
          <w:szCs w:val="28"/>
          <w:lang w:val="en-US" w:eastAsia="zh-CN"/>
        </w:rPr>
        <w:t>我院立足办案实际，从严控审理期限、严查庭审文书、严格指标考核三方面入手，建立起公正高效的办案流程，服判息诉率为90%。达到年度指标值。该指标分值16分，得分16分，得分率</w:t>
      </w:r>
      <w:r>
        <w:rPr>
          <w:rFonts w:hint="eastAsia" w:ascii="Times New Roman"/>
          <w:b w:val="0"/>
          <w:bCs w:val="0"/>
          <w:sz w:val="32"/>
          <w:szCs w:val="28"/>
          <w:lang w:val="en-US" w:eastAsia="zh-CN"/>
        </w:rPr>
        <w:t>为</w:t>
      </w:r>
      <w:r>
        <w:rPr>
          <w:rFonts w:hint="eastAsia" w:ascii="Times New Roman" w:eastAsia="仿宋_GB2312"/>
          <w:b w:val="0"/>
          <w:bCs w:val="0"/>
          <w:sz w:val="32"/>
          <w:szCs w:val="28"/>
          <w:lang w:val="en-US" w:eastAsia="zh-CN"/>
        </w:rPr>
        <w:t>100%。</w:t>
      </w:r>
    </w:p>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ascii="Times New Roman" w:eastAsia="仿宋_GB2312"/>
          <w:b/>
          <w:sz w:val="32"/>
        </w:rPr>
      </w:pPr>
      <w:bookmarkStart w:id="63" w:name="_Toc40046033"/>
      <w:r>
        <w:rPr>
          <w:rFonts w:hint="eastAsia" w:ascii="Times New Roman" w:eastAsia="仿宋_GB2312"/>
          <w:b/>
          <w:sz w:val="32"/>
        </w:rPr>
        <w:t>4</w:t>
      </w:r>
      <w:r>
        <w:rPr>
          <w:rFonts w:hint="eastAsia" w:ascii="Times New Roman" w:eastAsia="仿宋_GB2312"/>
          <w:b/>
          <w:sz w:val="32"/>
          <w:lang w:eastAsia="zh-CN"/>
        </w:rPr>
        <w:t>.</w:t>
      </w:r>
      <w:r>
        <w:rPr>
          <w:rFonts w:hint="eastAsia" w:ascii="Times New Roman" w:eastAsia="仿宋_GB2312"/>
          <w:b/>
          <w:sz w:val="32"/>
        </w:rPr>
        <w:t>能力建设</w:t>
      </w:r>
      <w:bookmarkEnd w:id="63"/>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highlight w:val="none"/>
        </w:rPr>
      </w:pPr>
      <w:r>
        <w:rPr>
          <w:rFonts w:hint="eastAsia" w:ascii="Times New Roman" w:hAnsi="宋体" w:eastAsia="仿宋_GB2312"/>
          <w:sz w:val="32"/>
          <w:szCs w:val="28"/>
          <w:lang w:val="en-US" w:eastAsia="zh-CN"/>
        </w:rPr>
        <w:t>能力建设指标</w:t>
      </w:r>
      <w:r>
        <w:rPr>
          <w:rFonts w:hint="eastAsia" w:ascii="Times New Roman" w:hAnsi="宋体"/>
          <w:sz w:val="32"/>
          <w:szCs w:val="28"/>
          <w:lang w:val="en-US" w:eastAsia="zh-CN"/>
        </w:rPr>
        <w:t>分值</w:t>
      </w:r>
      <w:r>
        <w:rPr>
          <w:rFonts w:hint="eastAsia" w:ascii="Times New Roman" w:eastAsia="仿宋_GB2312"/>
          <w:sz w:val="32"/>
          <w:lang w:val="en-US" w:eastAsia="zh-CN"/>
        </w:rPr>
        <w:t>10</w:t>
      </w:r>
      <w:r>
        <w:rPr>
          <w:rFonts w:hint="eastAsia" w:ascii="Times New Roman" w:eastAsia="仿宋_GB2312"/>
          <w:sz w:val="32"/>
        </w:rPr>
        <w:t>分</w:t>
      </w:r>
      <w:r>
        <w:rPr>
          <w:rFonts w:hint="eastAsia" w:ascii="Times New Roman" w:eastAsia="仿宋_GB2312"/>
          <w:sz w:val="32"/>
          <w:highlight w:val="none"/>
        </w:rPr>
        <w:t>，自评得分</w:t>
      </w:r>
      <w:r>
        <w:rPr>
          <w:rFonts w:hint="eastAsia" w:ascii="Times New Roman" w:eastAsia="仿宋_GB2312"/>
          <w:sz w:val="32"/>
          <w:highlight w:val="none"/>
          <w:lang w:val="en-US" w:eastAsia="zh-CN"/>
        </w:rPr>
        <w:t>10</w:t>
      </w:r>
      <w:r>
        <w:rPr>
          <w:rFonts w:hint="eastAsia" w:ascii="Times New Roman" w:eastAsia="仿宋_GB2312"/>
          <w:sz w:val="32"/>
          <w:highlight w:val="none"/>
        </w:rPr>
        <w:t>分，得分率</w:t>
      </w:r>
      <w:r>
        <w:rPr>
          <w:rFonts w:hint="eastAsia" w:ascii="Times New Roman"/>
          <w:sz w:val="32"/>
          <w:highlight w:val="none"/>
          <w:lang w:val="en-US" w:eastAsia="zh-CN"/>
        </w:rPr>
        <w:t>为</w:t>
      </w:r>
      <w:r>
        <w:rPr>
          <w:rFonts w:hint="eastAsia" w:ascii="Times New Roman" w:eastAsia="仿宋_GB2312"/>
          <w:sz w:val="32"/>
          <w:highlight w:val="none"/>
          <w:lang w:val="en-US" w:eastAsia="zh-CN"/>
        </w:rPr>
        <w:t>100</w:t>
      </w:r>
      <w:r>
        <w:rPr>
          <w:rFonts w:hint="eastAsia" w:ascii="Times New Roman" w:eastAsia="仿宋_GB2312"/>
          <w:sz w:val="32"/>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sz w:val="32"/>
        </w:rPr>
      </w:pPr>
      <w:r>
        <w:rPr>
          <w:rFonts w:hint="eastAsia" w:ascii="Times New Roman" w:hAnsi="宋体" w:eastAsia="仿宋_GB2312"/>
          <w:b/>
          <w:bCs/>
          <w:sz w:val="32"/>
          <w:szCs w:val="28"/>
        </w:rPr>
        <w:t>实现常态化管理：</w:t>
      </w:r>
      <w:r>
        <w:rPr>
          <w:rFonts w:hint="eastAsia" w:ascii="Times New Roman" w:eastAsia="仿宋_GB2312"/>
          <w:sz w:val="32"/>
          <w:lang w:val="en-US" w:eastAsia="zh-CN"/>
        </w:rPr>
        <w:t>我院</w:t>
      </w:r>
      <w:r>
        <w:rPr>
          <w:rFonts w:hint="default" w:ascii="Times New Roman" w:eastAsia="仿宋_GB2312"/>
          <w:sz w:val="32"/>
          <w:lang w:val="en-US" w:eastAsia="zh-CN"/>
        </w:rPr>
        <w:t>坚持以服务群众为工作出发点，认真履行职责使命，妥善化解矛盾纠纷，切实为人民群众提供高质量司法服务。充分发挥刑事审判职能，常态化开展扫黑除恶斗争，强力推进打击治理电信网络和养老诈骗等专项行动，努力维护安全稳定的社会环境。</w:t>
      </w:r>
      <w:r>
        <w:rPr>
          <w:rFonts w:hint="eastAsia" w:ascii="Times New Roman" w:eastAsia="仿宋_GB2312"/>
          <w:sz w:val="32"/>
        </w:rPr>
        <w:t>达到年度指标值。</w:t>
      </w:r>
      <w:r>
        <w:rPr>
          <w:rFonts w:hint="eastAsia" w:ascii="Times New Roman" w:hAnsi="宋体" w:eastAsia="仿宋_GB2312"/>
          <w:sz w:val="32"/>
          <w:szCs w:val="28"/>
        </w:rPr>
        <w:t>该指标分值</w:t>
      </w:r>
      <w:r>
        <w:rPr>
          <w:rFonts w:hint="eastAsia" w:ascii="Times New Roman" w:hAnsi="宋体" w:eastAsia="仿宋_GB2312"/>
          <w:sz w:val="32"/>
          <w:szCs w:val="28"/>
          <w:lang w:val="en-US" w:eastAsia="zh-CN"/>
        </w:rPr>
        <w:t>4</w:t>
      </w:r>
      <w:r>
        <w:rPr>
          <w:rFonts w:hint="eastAsia" w:ascii="Times New Roman" w:hAnsi="宋体" w:eastAsia="仿宋_GB2312"/>
          <w:sz w:val="32"/>
          <w:szCs w:val="28"/>
        </w:rPr>
        <w:t>分，自评得分为</w:t>
      </w:r>
      <w:r>
        <w:rPr>
          <w:rFonts w:hint="eastAsia" w:ascii="Times New Roman" w:hAnsi="宋体" w:eastAsia="仿宋_GB2312"/>
          <w:sz w:val="32"/>
          <w:szCs w:val="28"/>
          <w:lang w:val="en-US" w:eastAsia="zh-CN"/>
        </w:rPr>
        <w:t>4</w:t>
      </w:r>
      <w:r>
        <w:rPr>
          <w:rFonts w:hint="eastAsia" w:ascii="Times New Roman" w:hAnsi="宋体" w:eastAsia="仿宋_GB2312"/>
          <w:sz w:val="32"/>
          <w:szCs w:val="28"/>
        </w:rPr>
        <w:t>分，得分率</w:t>
      </w:r>
      <w:r>
        <w:rPr>
          <w:rFonts w:hint="eastAsia" w:ascii="Times New Roman" w:hAnsi="宋体"/>
          <w:sz w:val="32"/>
          <w:szCs w:val="28"/>
          <w:lang w:val="en-US" w:eastAsia="zh-CN"/>
        </w:rPr>
        <w:t>为</w:t>
      </w:r>
      <w:r>
        <w:rPr>
          <w:rFonts w:hint="eastAsia" w:ascii="Times New Roman" w:hAnsi="宋体" w:eastAsia="仿宋_GB2312"/>
          <w:sz w:val="32"/>
          <w:szCs w:val="28"/>
        </w:rPr>
        <w:t>100%。</w:t>
      </w:r>
    </w:p>
    <w:p>
      <w:pPr>
        <w:pStyle w:val="2"/>
        <w:keepNext w:val="0"/>
        <w:keepLines w:val="0"/>
        <w:pageBreakBefore w:val="0"/>
        <w:widowControl w:val="0"/>
        <w:kinsoku/>
        <w:wordWrap/>
        <w:overflowPunct w:val="0"/>
        <w:topLinePunct w:val="0"/>
        <w:autoSpaceDE w:val="0"/>
        <w:autoSpaceDN w:val="0"/>
        <w:bidi w:val="0"/>
        <w:adjustRightInd/>
        <w:snapToGrid/>
        <w:spacing w:beforeAutospacing="0" w:afterAutospacing="0" w:line="560" w:lineRule="exact"/>
        <w:ind w:left="0" w:leftChars="0" w:firstLine="643" w:firstLineChars="200"/>
        <w:textAlignment w:val="auto"/>
        <w:rPr>
          <w:rFonts w:hint="eastAsia" w:ascii="Times New Roman" w:hAnsi="宋体" w:eastAsia="仿宋_GB2312"/>
          <w:b/>
          <w:bCs/>
          <w:sz w:val="32"/>
          <w:szCs w:val="28"/>
          <w:highlight w:val="none"/>
        </w:rPr>
      </w:pPr>
      <w:r>
        <w:rPr>
          <w:rFonts w:hint="eastAsia" w:ascii="Times New Roman" w:hAnsi="宋体" w:eastAsia="仿宋_GB2312" w:cs="宋体"/>
          <w:b/>
          <w:bCs/>
          <w:kern w:val="0"/>
          <w:sz w:val="32"/>
          <w:szCs w:val="28"/>
          <w:highlight w:val="none"/>
        </w:rPr>
        <w:t>在职公务员满意度：</w:t>
      </w:r>
      <w:r>
        <w:rPr>
          <w:rFonts w:hint="eastAsia" w:ascii="Times New Roman" w:eastAsia="仿宋_GB2312"/>
          <w:sz w:val="32"/>
          <w:highlight w:val="none"/>
          <w:lang w:val="en-US" w:eastAsia="zh-CN"/>
        </w:rPr>
        <w:t>2022年我院在案件的审判上，找准短板弱项，加强分析研判，查找原因症结，围绕审判存在的问题和短板，细化工作举措，层层压实责任，确保查漏补缺工作落实到位，保障工作人员办案质量要求和业务能力水平的提升，在职公务员满意度为99%</w:t>
      </w:r>
      <w:r>
        <w:rPr>
          <w:rFonts w:hint="eastAsia" w:ascii="Times New Roman" w:eastAsia="仿宋_GB2312"/>
          <w:sz w:val="32"/>
          <w:highlight w:val="none"/>
        </w:rPr>
        <w:t>。</w:t>
      </w:r>
      <w:r>
        <w:rPr>
          <w:rFonts w:hint="eastAsia" w:ascii="Times New Roman" w:hAnsi="宋体" w:eastAsia="仿宋_GB2312" w:cs="宋体"/>
          <w:kern w:val="0"/>
          <w:sz w:val="32"/>
          <w:szCs w:val="28"/>
          <w:highlight w:val="none"/>
        </w:rPr>
        <w:t>该指标分值</w:t>
      </w:r>
      <w:r>
        <w:rPr>
          <w:rFonts w:hint="eastAsia" w:ascii="Times New Roman" w:hAnsi="宋体" w:eastAsia="仿宋_GB2312" w:cs="宋体"/>
          <w:kern w:val="0"/>
          <w:sz w:val="32"/>
          <w:szCs w:val="28"/>
          <w:highlight w:val="none"/>
          <w:lang w:val="en-US" w:eastAsia="zh-CN"/>
        </w:rPr>
        <w:t>3</w:t>
      </w:r>
      <w:r>
        <w:rPr>
          <w:rFonts w:hint="eastAsia" w:ascii="Times New Roman" w:hAnsi="宋体" w:eastAsia="仿宋_GB2312" w:cs="宋体"/>
          <w:kern w:val="0"/>
          <w:sz w:val="32"/>
          <w:szCs w:val="28"/>
          <w:highlight w:val="none"/>
        </w:rPr>
        <w:t>分，自评得分为</w:t>
      </w:r>
      <w:r>
        <w:rPr>
          <w:rFonts w:hint="eastAsia" w:ascii="Times New Roman" w:hAnsi="宋体" w:eastAsia="仿宋_GB2312" w:cs="宋体"/>
          <w:kern w:val="0"/>
          <w:sz w:val="32"/>
          <w:szCs w:val="28"/>
          <w:highlight w:val="none"/>
          <w:lang w:val="en-US" w:eastAsia="zh-CN"/>
        </w:rPr>
        <w:t>3</w:t>
      </w:r>
      <w:r>
        <w:rPr>
          <w:rFonts w:hint="eastAsia" w:ascii="Times New Roman" w:hAnsi="宋体" w:eastAsia="仿宋_GB2312" w:cs="宋体"/>
          <w:kern w:val="0"/>
          <w:sz w:val="32"/>
          <w:szCs w:val="28"/>
          <w:highlight w:val="none"/>
        </w:rPr>
        <w:t>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sz w:val="32"/>
          <w:szCs w:val="28"/>
        </w:rPr>
      </w:pPr>
      <w:r>
        <w:rPr>
          <w:rFonts w:hint="eastAsia" w:ascii="Times New Roman" w:hAnsi="宋体" w:eastAsia="仿宋_GB2312"/>
          <w:b/>
          <w:bCs/>
          <w:sz w:val="32"/>
          <w:szCs w:val="28"/>
        </w:rPr>
        <w:t>档案管理完备性：</w:t>
      </w:r>
      <w:r>
        <w:rPr>
          <w:rFonts w:hint="eastAsia" w:ascii="Times New Roman" w:hAnsi="宋体" w:eastAsia="仿宋_GB2312"/>
          <w:sz w:val="32"/>
          <w:szCs w:val="28"/>
        </w:rPr>
        <w:t>我院严格规范和完善各项档案管理工作，在档案收集、保管方面管理到位，有效执行，并设有档案管理的专职人员，取得了良好的成效</w:t>
      </w:r>
      <w:r>
        <w:rPr>
          <w:rFonts w:hint="eastAsia" w:ascii="Times New Roman" w:hAnsi="宋体"/>
          <w:sz w:val="32"/>
          <w:szCs w:val="28"/>
          <w:lang w:eastAsia="zh-CN"/>
        </w:rPr>
        <w:t>，</w:t>
      </w:r>
      <w:r>
        <w:rPr>
          <w:rFonts w:hint="eastAsia" w:ascii="Times New Roman" w:eastAsia="仿宋_GB2312"/>
          <w:sz w:val="32"/>
        </w:rPr>
        <w:t>达到年度指标值。</w:t>
      </w:r>
      <w:r>
        <w:rPr>
          <w:rFonts w:hint="eastAsia" w:ascii="Times New Roman" w:hAnsi="宋体" w:eastAsia="仿宋_GB2312"/>
          <w:sz w:val="32"/>
          <w:szCs w:val="28"/>
        </w:rPr>
        <w:t>该指标分值3分，自评得分为3分，得分率</w:t>
      </w:r>
      <w:r>
        <w:rPr>
          <w:rFonts w:hint="eastAsia" w:ascii="Times New Roman" w:hAnsi="宋体"/>
          <w:sz w:val="32"/>
          <w:szCs w:val="28"/>
          <w:lang w:val="en-US" w:eastAsia="zh-CN"/>
        </w:rPr>
        <w:t>为</w:t>
      </w:r>
      <w:r>
        <w:rPr>
          <w:rFonts w:hint="eastAsia" w:ascii="Times New Roman" w:hAnsi="宋体" w:eastAsia="仿宋_GB2312"/>
          <w:sz w:val="32"/>
          <w:szCs w:val="28"/>
        </w:rPr>
        <w:t>100%。</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2"/>
        <w:rPr>
          <w:rFonts w:ascii="Times New Roman" w:eastAsia="仿宋_GB2312"/>
          <w:b/>
          <w:sz w:val="32"/>
        </w:rPr>
      </w:pPr>
      <w:bookmarkStart w:id="64" w:name="_Toc40046034"/>
      <w:r>
        <w:rPr>
          <w:rFonts w:hint="eastAsia" w:ascii="Times New Roman" w:eastAsia="仿宋_GB2312"/>
          <w:b/>
          <w:sz w:val="32"/>
        </w:rPr>
        <w:t>5</w:t>
      </w:r>
      <w:r>
        <w:rPr>
          <w:rFonts w:hint="eastAsia" w:ascii="Times New Roman" w:eastAsia="仿宋_GB2312"/>
          <w:b/>
          <w:sz w:val="32"/>
          <w:lang w:eastAsia="zh-CN"/>
        </w:rPr>
        <w:t>.</w:t>
      </w:r>
      <w:r>
        <w:rPr>
          <w:rFonts w:hint="eastAsia" w:ascii="Times New Roman" w:eastAsia="仿宋_GB2312"/>
          <w:b/>
          <w:sz w:val="32"/>
        </w:rPr>
        <w:t>服务对象满意度</w:t>
      </w:r>
      <w:bookmarkEnd w:id="64"/>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ascii="Times New Roman" w:eastAsia="仿宋_GB2312"/>
          <w:sz w:val="32"/>
          <w:highlight w:val="none"/>
        </w:rPr>
      </w:pPr>
      <w:bookmarkStart w:id="65" w:name="_Toc16525"/>
      <w:bookmarkStart w:id="66" w:name="_Toc16731"/>
      <w:bookmarkStart w:id="67" w:name="_Toc3174"/>
      <w:bookmarkStart w:id="68" w:name="_Toc12558"/>
      <w:bookmarkStart w:id="69" w:name="_Toc40046035"/>
      <w:r>
        <w:rPr>
          <w:rFonts w:hint="eastAsia" w:ascii="Times New Roman" w:hAnsi="宋体" w:eastAsia="仿宋_GB2312"/>
          <w:sz w:val="32"/>
          <w:szCs w:val="28"/>
        </w:rPr>
        <w:t>服务对象满意度主要考察人民群众满意度</w:t>
      </w:r>
      <w:r>
        <w:rPr>
          <w:rFonts w:hint="eastAsia" w:ascii="Times New Roman" w:hAnsi="宋体" w:eastAsia="仿宋_GB2312"/>
          <w:sz w:val="32"/>
          <w:szCs w:val="28"/>
          <w:lang w:eastAsia="zh-CN"/>
        </w:rPr>
        <w:t>。</w:t>
      </w:r>
      <w:r>
        <w:rPr>
          <w:rFonts w:ascii="Times New Roman" w:hAnsi="宋体" w:eastAsia="仿宋_GB2312"/>
          <w:sz w:val="32"/>
          <w:szCs w:val="28"/>
        </w:rPr>
        <w:t>该指标分值</w:t>
      </w:r>
      <w:r>
        <w:rPr>
          <w:rFonts w:hint="eastAsia" w:ascii="Times New Roman" w:hAnsi="宋体" w:eastAsia="仿宋_GB2312"/>
          <w:sz w:val="32"/>
          <w:szCs w:val="28"/>
          <w:lang w:val="en-US" w:eastAsia="zh-CN"/>
        </w:rPr>
        <w:t>10</w:t>
      </w:r>
      <w:r>
        <w:rPr>
          <w:rFonts w:hint="eastAsia" w:ascii="Times New Roman" w:hAnsi="宋体" w:eastAsia="仿宋_GB2312"/>
          <w:sz w:val="32"/>
          <w:szCs w:val="28"/>
        </w:rPr>
        <w:t>分</w:t>
      </w:r>
      <w:r>
        <w:rPr>
          <w:rFonts w:hint="eastAsia" w:ascii="Times New Roman" w:hAnsi="宋体" w:eastAsia="仿宋_GB2312"/>
          <w:sz w:val="32"/>
          <w:szCs w:val="28"/>
          <w:highlight w:val="none"/>
        </w:rPr>
        <w:t>，自评得分</w:t>
      </w:r>
      <w:r>
        <w:rPr>
          <w:rFonts w:hint="eastAsia" w:ascii="Times New Roman" w:hAnsi="宋体" w:eastAsia="仿宋_GB2312"/>
          <w:sz w:val="32"/>
          <w:szCs w:val="28"/>
          <w:highlight w:val="none"/>
          <w:lang w:val="en-US" w:eastAsia="zh-CN"/>
        </w:rPr>
        <w:t>10</w:t>
      </w:r>
      <w:r>
        <w:rPr>
          <w:rFonts w:hint="eastAsia" w:ascii="Times New Roman" w:hAnsi="宋体" w:eastAsia="仿宋_GB2312"/>
          <w:sz w:val="32"/>
          <w:szCs w:val="28"/>
          <w:highlight w:val="none"/>
        </w:rPr>
        <w:t>分，得分率</w:t>
      </w:r>
      <w:r>
        <w:rPr>
          <w:rFonts w:hint="eastAsia" w:ascii="Times New Roman" w:hAnsi="宋体"/>
          <w:sz w:val="32"/>
          <w:szCs w:val="28"/>
          <w:highlight w:val="none"/>
          <w:lang w:val="en-US" w:eastAsia="zh-CN"/>
        </w:rPr>
        <w:t>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ascii="Times New Roman" w:eastAsia="仿宋_GB2312"/>
          <w:sz w:val="32"/>
          <w:szCs w:val="28"/>
        </w:rPr>
      </w:pPr>
      <w:r>
        <w:rPr>
          <w:rFonts w:hint="eastAsia" w:ascii="Times New Roman" w:eastAsia="仿宋_GB2312"/>
          <w:b/>
          <w:bCs/>
          <w:sz w:val="32"/>
          <w:lang w:val="en-US" w:eastAsia="zh-CN"/>
        </w:rPr>
        <w:t>人民群众满意度：</w:t>
      </w:r>
      <w:r>
        <w:rPr>
          <w:rFonts w:hint="eastAsia" w:ascii="Times New Roman" w:eastAsia="仿宋_GB2312"/>
          <w:sz w:val="32"/>
          <w:szCs w:val="28"/>
        </w:rPr>
        <w:t>我院依法审理各类案件，妥善化解矛盾纠纷和行政争议，</w:t>
      </w:r>
      <w:r>
        <w:rPr>
          <w:rFonts w:hint="eastAsia" w:ascii="Times New Roman" w:eastAsia="仿宋_GB2312"/>
          <w:sz w:val="32"/>
          <w:lang w:val="en-US" w:eastAsia="zh-CN"/>
        </w:rPr>
        <w:t>维护了法院审判工作的有序开展，</w:t>
      </w:r>
      <w:r>
        <w:rPr>
          <w:rFonts w:hint="eastAsia" w:ascii="Times New Roman" w:eastAsia="仿宋_GB2312"/>
          <w:sz w:val="32"/>
          <w:szCs w:val="28"/>
        </w:rPr>
        <w:t>积极保障人民群众生命财产安全，不断增强人民群众获得感、幸福感和安全感，减轻人民群众诉讼诉累，</w:t>
      </w:r>
      <w:r>
        <w:rPr>
          <w:rFonts w:hint="eastAsia" w:ascii="Times New Roman" w:eastAsia="仿宋_GB2312"/>
          <w:sz w:val="32"/>
          <w:lang w:val="en-US" w:eastAsia="zh-CN"/>
        </w:rPr>
        <w:t>因此得到了人民群众的好评，</w:t>
      </w:r>
      <w:r>
        <w:rPr>
          <w:rFonts w:hint="eastAsia" w:ascii="Times New Roman" w:eastAsia="仿宋_GB2312"/>
          <w:sz w:val="32"/>
          <w:szCs w:val="28"/>
        </w:rPr>
        <w:t>人民群众满意度为</w:t>
      </w:r>
      <w:r>
        <w:rPr>
          <w:rFonts w:hint="eastAsia" w:ascii="Times New Roman"/>
          <w:sz w:val="32"/>
          <w:szCs w:val="28"/>
          <w:lang w:val="en-US" w:eastAsia="zh-CN"/>
        </w:rPr>
        <w:t>9</w:t>
      </w:r>
      <w:r>
        <w:rPr>
          <w:rFonts w:hint="eastAsia" w:ascii="Times New Roman" w:eastAsia="仿宋_GB2312"/>
          <w:sz w:val="32"/>
          <w:szCs w:val="28"/>
          <w:lang w:val="en-US" w:eastAsia="zh-CN"/>
        </w:rPr>
        <w:t>0</w:t>
      </w:r>
      <w:r>
        <w:rPr>
          <w:rFonts w:hint="eastAsia" w:ascii="Times New Roman" w:eastAsia="仿宋_GB2312"/>
          <w:sz w:val="32"/>
          <w:szCs w:val="28"/>
        </w:rPr>
        <w:t>%。该指标权重</w:t>
      </w:r>
      <w:r>
        <w:rPr>
          <w:rFonts w:hint="eastAsia" w:ascii="Times New Roman" w:eastAsia="仿宋_GB2312"/>
          <w:sz w:val="32"/>
          <w:szCs w:val="28"/>
          <w:lang w:val="en-US" w:eastAsia="zh-CN"/>
        </w:rPr>
        <w:t>10</w:t>
      </w:r>
      <w:r>
        <w:rPr>
          <w:rFonts w:hint="eastAsia" w:ascii="Times New Roman" w:eastAsia="仿宋_GB2312"/>
          <w:sz w:val="32"/>
          <w:szCs w:val="28"/>
        </w:rPr>
        <w:t>分，自评得分</w:t>
      </w:r>
      <w:r>
        <w:rPr>
          <w:rFonts w:hint="eastAsia" w:ascii="Times New Roman" w:eastAsia="仿宋_GB2312"/>
          <w:sz w:val="32"/>
          <w:szCs w:val="28"/>
          <w:lang w:val="en-US" w:eastAsia="zh-CN"/>
        </w:rPr>
        <w:t>10分</w:t>
      </w:r>
      <w:r>
        <w:rPr>
          <w:rFonts w:hint="eastAsia" w:ascii="Times New Roman" w:eastAsia="仿宋_GB2312"/>
          <w:sz w:val="32"/>
          <w:szCs w:val="28"/>
        </w:rPr>
        <w:t>，得分率为100%。</w:t>
      </w:r>
    </w:p>
    <w:p>
      <w:pPr>
        <w:pStyle w:val="4"/>
        <w:keepNext/>
        <w:keepLines/>
        <w:pageBreakBefore w:val="0"/>
        <w:widowControl w:val="0"/>
        <w:numPr>
          <w:ilvl w:val="0"/>
          <w:numId w:val="0"/>
        </w:numPr>
        <w:kinsoku/>
        <w:wordWrap/>
        <w:overflowPunct w:val="0"/>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1"/>
        <w:rPr>
          <w:rFonts w:hint="eastAsia" w:ascii="Arial" w:eastAsia="楷体"/>
          <w:b/>
          <w:sz w:val="32"/>
        </w:rPr>
      </w:pPr>
      <w:bookmarkStart w:id="70" w:name="_Toc13202"/>
      <w:r>
        <w:rPr>
          <w:rFonts w:hint="eastAsia" w:ascii="Arial" w:eastAsia="楷体"/>
          <w:b/>
          <w:sz w:val="32"/>
          <w:lang w:eastAsia="zh-CN"/>
        </w:rPr>
        <w:t>（</w:t>
      </w:r>
      <w:r>
        <w:rPr>
          <w:rFonts w:hint="eastAsia" w:ascii="Arial" w:eastAsia="楷体"/>
          <w:b/>
          <w:sz w:val="32"/>
          <w:lang w:val="en-US" w:eastAsia="zh-CN"/>
        </w:rPr>
        <w:t>四）</w:t>
      </w:r>
      <w:r>
        <w:rPr>
          <w:rFonts w:hint="eastAsia" w:ascii="Arial" w:eastAsia="楷体"/>
          <w:b/>
          <w:sz w:val="32"/>
        </w:rPr>
        <w:t>偏离绩效目标的原因及下一步改进措施</w:t>
      </w:r>
      <w:bookmarkEnd w:id="65"/>
      <w:bookmarkEnd w:id="66"/>
      <w:bookmarkEnd w:id="67"/>
      <w:bookmarkEnd w:id="68"/>
      <w:bookmarkEnd w:id="69"/>
      <w:bookmarkEnd w:id="70"/>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eastAsia" w:ascii="Times New Roman" w:eastAsia="仿宋_GB2312"/>
          <w:sz w:val="32"/>
          <w:lang w:val="en-US" w:eastAsia="zh-CN"/>
        </w:rPr>
      </w:pPr>
      <w:r>
        <w:rPr>
          <w:rFonts w:hint="eastAsia" w:ascii="Times New Roman" w:eastAsia="仿宋_GB2312"/>
          <w:sz w:val="32"/>
          <w:lang w:val="en-US" w:eastAsia="zh-CN"/>
        </w:rPr>
        <w:t>无</w:t>
      </w:r>
      <w:r>
        <w:rPr>
          <w:rFonts w:hint="eastAsia" w:ascii="Times New Roman"/>
          <w:sz w:val="32"/>
          <w:lang w:val="en-US" w:eastAsia="zh-CN"/>
        </w:rPr>
        <w:t>偏差</w:t>
      </w:r>
      <w:r>
        <w:rPr>
          <w:rFonts w:hint="eastAsia" w:ascii="Times New Roman" w:eastAsia="仿宋_GB2312"/>
          <w:sz w:val="32"/>
          <w:lang w:val="en-US" w:eastAsia="zh-CN"/>
        </w:rPr>
        <w:t>。</w:t>
      </w:r>
    </w:p>
    <w:p>
      <w:pPr>
        <w:pStyle w:val="3"/>
        <w:pageBreakBefore w:val="0"/>
        <w:kinsoku/>
        <w:wordWrap/>
        <w:overflowPunct w:val="0"/>
        <w:topLinePunct w:val="0"/>
        <w:bidi w:val="0"/>
        <w:snapToGrid/>
        <w:spacing w:before="0" w:beforeAutospacing="0" w:after="0" w:afterAutospacing="0" w:line="560" w:lineRule="exact"/>
        <w:ind w:left="0" w:leftChars="0" w:right="0" w:rightChars="0" w:firstLine="643" w:firstLineChars="200"/>
        <w:jc w:val="both"/>
        <w:outlineLvl w:val="0"/>
        <w:rPr>
          <w:rFonts w:ascii="Times New Roman" w:eastAsia="黑体"/>
          <w:b/>
          <w:sz w:val="32"/>
        </w:rPr>
      </w:pPr>
      <w:bookmarkStart w:id="71" w:name="_Toc16890"/>
      <w:bookmarkStart w:id="72" w:name="_Toc25052"/>
      <w:bookmarkStart w:id="73" w:name="_Toc8740"/>
      <w:bookmarkStart w:id="74" w:name="_Toc2045"/>
      <w:r>
        <w:rPr>
          <w:rFonts w:hint="eastAsia" w:ascii="Times New Roman" w:eastAsia="黑体"/>
          <w:b/>
          <w:sz w:val="32"/>
        </w:rPr>
        <w:t>四、部门预算项目支出绩效自评情况分析</w:t>
      </w:r>
      <w:bookmarkEnd w:id="71"/>
      <w:bookmarkEnd w:id="72"/>
      <w:bookmarkEnd w:id="73"/>
      <w:bookmarkEnd w:id="74"/>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hAnsi="宋体" w:eastAsia="仿宋_GB2312"/>
          <w:sz w:val="32"/>
          <w:szCs w:val="28"/>
          <w:highlight w:val="none"/>
        </w:rPr>
      </w:pPr>
      <w:r>
        <w:rPr>
          <w:rFonts w:hint="eastAsia" w:ascii="Times New Roman" w:hAnsi="宋体" w:eastAsia="仿宋_GB2312"/>
          <w:sz w:val="32"/>
          <w:szCs w:val="28"/>
          <w:lang w:eastAsia="zh-CN"/>
        </w:rPr>
        <w:t>202</w:t>
      </w:r>
      <w:r>
        <w:rPr>
          <w:rFonts w:hint="eastAsia" w:ascii="Times New Roman" w:hAnsi="宋体" w:eastAsia="仿宋_GB2312"/>
          <w:sz w:val="32"/>
          <w:szCs w:val="28"/>
          <w:lang w:val="en-US" w:eastAsia="zh-CN"/>
        </w:rPr>
        <w:t>2</w:t>
      </w:r>
      <w:r>
        <w:rPr>
          <w:rFonts w:hint="eastAsia" w:ascii="Times New Roman" w:hAnsi="宋体" w:eastAsia="仿宋_GB2312"/>
          <w:sz w:val="32"/>
          <w:szCs w:val="28"/>
        </w:rPr>
        <w:t>年，我院预算支出项目为2个，通过自评，</w:t>
      </w:r>
      <w:r>
        <w:rPr>
          <w:rFonts w:hint="eastAsia" w:ascii="Times New Roman" w:hAnsi="宋体" w:eastAsia="仿宋_GB2312"/>
          <w:sz w:val="32"/>
          <w:szCs w:val="28"/>
          <w:lang w:val="en-US" w:eastAsia="zh-CN"/>
        </w:rPr>
        <w:t>2</w:t>
      </w:r>
      <w:r>
        <w:rPr>
          <w:rFonts w:hint="eastAsia" w:ascii="Times New Roman" w:hAnsi="宋体" w:eastAsia="仿宋_GB2312"/>
          <w:sz w:val="32"/>
          <w:szCs w:val="28"/>
          <w:highlight w:val="none"/>
        </w:rPr>
        <w:t>个项目结果</w:t>
      </w:r>
      <w:r>
        <w:rPr>
          <w:rFonts w:hint="eastAsia" w:ascii="Times New Roman" w:hAnsi="宋体" w:eastAsia="仿宋_GB2312"/>
          <w:sz w:val="32"/>
          <w:szCs w:val="28"/>
          <w:highlight w:val="none"/>
          <w:lang w:val="en-US" w:eastAsia="zh-CN"/>
        </w:rPr>
        <w:t>均</w:t>
      </w:r>
      <w:r>
        <w:rPr>
          <w:rFonts w:hint="eastAsia" w:ascii="Times New Roman" w:hAnsi="宋体" w:eastAsia="仿宋_GB2312"/>
          <w:sz w:val="32"/>
          <w:szCs w:val="28"/>
          <w:highlight w:val="none"/>
        </w:rPr>
        <w:t>为“优</w:t>
      </w:r>
      <w:r>
        <w:rPr>
          <w:rFonts w:hint="eastAsia" w:ascii="Times New Roman" w:hAnsi="宋体"/>
          <w:sz w:val="32"/>
          <w:szCs w:val="28"/>
          <w:highlight w:val="none"/>
          <w:lang w:val="en-US" w:eastAsia="zh-CN"/>
        </w:rPr>
        <w:t>秀</w:t>
      </w:r>
      <w:r>
        <w:rPr>
          <w:rFonts w:hint="eastAsia" w:ascii="Times New Roman" w:hAnsi="宋体" w:eastAsia="仿宋_GB2312"/>
          <w:sz w:val="32"/>
          <w:szCs w:val="28"/>
          <w:highlight w:val="none"/>
        </w:rPr>
        <w:t>”</w:t>
      </w:r>
      <w:r>
        <w:rPr>
          <w:rFonts w:hint="eastAsia" w:ascii="Times New Roman" w:hAnsi="宋体" w:eastAsia="仿宋_GB2312"/>
          <w:sz w:val="32"/>
          <w:szCs w:val="28"/>
          <w:highlight w:val="none"/>
          <w:lang w:val="en-US" w:eastAsia="zh-CN"/>
        </w:rPr>
        <w:t>。</w:t>
      </w:r>
      <w:r>
        <w:rPr>
          <w:rFonts w:hint="eastAsia" w:ascii="Times New Roman" w:hAnsi="宋体" w:eastAsia="仿宋_GB2312"/>
          <w:sz w:val="32"/>
          <w:szCs w:val="28"/>
          <w:highlight w:val="none"/>
        </w:rPr>
        <w:t>分项目自评情况分析如下：</w:t>
      </w:r>
    </w:p>
    <w:p>
      <w:pPr>
        <w:pStyle w:val="4"/>
        <w:pageBreakBefore w:val="0"/>
        <w:kinsoku/>
        <w:wordWrap/>
        <w:overflowPunct w:val="0"/>
        <w:topLinePunct w:val="0"/>
        <w:bidi w:val="0"/>
        <w:snapToGrid/>
        <w:spacing w:before="0" w:beforeAutospacing="0" w:after="0" w:afterAutospacing="0" w:line="560" w:lineRule="exact"/>
        <w:ind w:left="0" w:leftChars="0" w:right="0" w:rightChars="0" w:firstLine="643" w:firstLineChars="200"/>
        <w:jc w:val="both"/>
        <w:outlineLvl w:val="1"/>
        <w:rPr>
          <w:rFonts w:hint="eastAsia" w:ascii="Arial" w:eastAsia="楷体"/>
          <w:b/>
          <w:sz w:val="32"/>
          <w:lang w:val="en-US" w:eastAsia="zh-CN"/>
        </w:rPr>
      </w:pPr>
      <w:bookmarkStart w:id="75" w:name="_Toc40046039"/>
      <w:bookmarkStart w:id="76" w:name="_Toc4248"/>
      <w:bookmarkStart w:id="77" w:name="_Toc22792"/>
      <w:bookmarkStart w:id="78" w:name="_Toc16262"/>
      <w:bookmarkStart w:id="79" w:name="_Toc5930"/>
      <w:r>
        <w:rPr>
          <w:rFonts w:hint="eastAsia" w:ascii="Arial" w:eastAsia="楷体"/>
          <w:b/>
          <w:sz w:val="32"/>
          <w:lang w:eastAsia="zh-CN"/>
        </w:rPr>
        <w:t>（一）</w:t>
      </w:r>
      <w:bookmarkEnd w:id="75"/>
      <w:r>
        <w:rPr>
          <w:rFonts w:hint="eastAsia" w:ascii="Arial" w:eastAsia="楷体"/>
          <w:b/>
          <w:sz w:val="32"/>
        </w:rPr>
        <w:t>法庭运维费</w:t>
      </w:r>
      <w:bookmarkEnd w:id="76"/>
      <w:bookmarkEnd w:id="77"/>
      <w:bookmarkEnd w:id="78"/>
      <w:r>
        <w:rPr>
          <w:rFonts w:hint="eastAsia" w:ascii="Arial" w:eastAsia="楷体"/>
          <w:b/>
          <w:sz w:val="32"/>
          <w:lang w:val="en-US" w:eastAsia="zh-CN"/>
        </w:rPr>
        <w:t>项目</w:t>
      </w:r>
      <w:bookmarkEnd w:id="79"/>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highlight w:val="none"/>
        </w:rPr>
      </w:pPr>
      <w:bookmarkStart w:id="80" w:name="_Toc40046040"/>
      <w:r>
        <w:rPr>
          <w:rFonts w:hint="eastAsia" w:ascii="Times New Roman" w:eastAsia="仿宋_GB2312"/>
          <w:sz w:val="32"/>
          <w:highlight w:val="none"/>
        </w:rPr>
        <w:t>本次绩效自评综合评定202</w:t>
      </w:r>
      <w:r>
        <w:rPr>
          <w:rFonts w:hint="eastAsia" w:ascii="Times New Roman" w:eastAsia="仿宋_GB2312"/>
          <w:sz w:val="32"/>
          <w:highlight w:val="none"/>
          <w:lang w:val="en-US" w:eastAsia="zh-CN"/>
        </w:rPr>
        <w:t>2</w:t>
      </w:r>
      <w:r>
        <w:rPr>
          <w:rFonts w:hint="eastAsia" w:ascii="Times New Roman" w:eastAsia="仿宋_GB2312"/>
          <w:sz w:val="32"/>
          <w:highlight w:val="none"/>
        </w:rPr>
        <w:t>年</w:t>
      </w:r>
      <w:r>
        <w:rPr>
          <w:rFonts w:hint="eastAsia" w:ascii="Times New Roman" w:eastAsia="仿宋_GB2312"/>
          <w:sz w:val="32"/>
          <w:highlight w:val="none"/>
          <w:lang w:val="en-US" w:eastAsia="zh-CN"/>
        </w:rPr>
        <w:t>法庭运维费</w:t>
      </w:r>
      <w:r>
        <w:rPr>
          <w:rFonts w:hint="eastAsia" w:ascii="Times New Roman" w:eastAsia="仿宋_GB2312"/>
          <w:sz w:val="32"/>
          <w:highlight w:val="none"/>
        </w:rPr>
        <w:t>项目支出绩效得分为</w:t>
      </w:r>
      <w:r>
        <w:rPr>
          <w:rFonts w:hint="eastAsia" w:ascii="Times New Roman" w:eastAsia="仿宋_GB2312"/>
          <w:sz w:val="32"/>
          <w:highlight w:val="none"/>
          <w:lang w:val="en-US" w:eastAsia="zh-CN"/>
        </w:rPr>
        <w:t>100</w:t>
      </w:r>
      <w:r>
        <w:rPr>
          <w:rFonts w:hint="eastAsia" w:ascii="Times New Roman" w:eastAsia="仿宋_GB2312"/>
          <w:sz w:val="32"/>
          <w:highlight w:val="none"/>
        </w:rPr>
        <w:t>分，绩效等级为“优</w:t>
      </w:r>
      <w:r>
        <w:rPr>
          <w:rFonts w:hint="eastAsia" w:ascii="Times New Roman"/>
          <w:sz w:val="32"/>
          <w:highlight w:val="none"/>
          <w:lang w:val="en-US" w:eastAsia="zh-CN"/>
        </w:rPr>
        <w:t>秀</w:t>
      </w:r>
      <w:r>
        <w:rPr>
          <w:rFonts w:hint="eastAsia" w:ascii="Times New Roman" w:eastAsia="仿宋_GB2312"/>
          <w:sz w:val="32"/>
          <w:highlight w:val="none"/>
        </w:rPr>
        <w:t>”。项目支出绩效评价包括</w:t>
      </w:r>
      <w:r>
        <w:rPr>
          <w:rFonts w:hint="eastAsia" w:ascii="Times New Roman" w:hAnsi="仿宋_GB2312" w:eastAsia="仿宋_GB2312" w:cs="仿宋_GB2312"/>
          <w:sz w:val="32"/>
          <w:highlight w:val="none"/>
          <w:lang w:val="en-US" w:eastAsia="zh-CN"/>
        </w:rPr>
        <w:t>项目资金预算执行率、</w:t>
      </w:r>
      <w:r>
        <w:rPr>
          <w:rFonts w:hint="eastAsia" w:ascii="Times New Roman" w:eastAsia="仿宋_GB2312"/>
          <w:sz w:val="32"/>
          <w:highlight w:val="none"/>
        </w:rPr>
        <w:t>产出、效益、满意度</w:t>
      </w:r>
      <w:r>
        <w:rPr>
          <w:rFonts w:hint="eastAsia" w:ascii="Times New Roman" w:eastAsia="仿宋_GB2312"/>
          <w:sz w:val="32"/>
          <w:highlight w:val="none"/>
          <w:lang w:val="en-US" w:eastAsia="zh-CN"/>
        </w:rPr>
        <w:t>四</w:t>
      </w:r>
      <w:r>
        <w:rPr>
          <w:rFonts w:hint="eastAsia" w:ascii="Times New Roman" w:eastAsia="仿宋_GB2312"/>
          <w:sz w:val="32"/>
          <w:highlight w:val="none"/>
        </w:rPr>
        <w:t>个一级指标，下设</w:t>
      </w:r>
      <w:r>
        <w:rPr>
          <w:rFonts w:hint="eastAsia" w:ascii="Times New Roman" w:eastAsia="仿宋_GB2312"/>
          <w:sz w:val="32"/>
          <w:highlight w:val="none"/>
          <w:lang w:val="en-US" w:eastAsia="zh-CN"/>
        </w:rPr>
        <w:t>8</w:t>
      </w:r>
      <w:r>
        <w:rPr>
          <w:rFonts w:hint="eastAsia" w:ascii="Times New Roman" w:eastAsia="仿宋_GB2312"/>
          <w:sz w:val="32"/>
          <w:highlight w:val="none"/>
        </w:rPr>
        <w:t>个二级指标和</w:t>
      </w:r>
      <w:r>
        <w:rPr>
          <w:rFonts w:hint="eastAsia" w:ascii="Times New Roman" w:eastAsia="仿宋_GB2312"/>
          <w:sz w:val="32"/>
          <w:highlight w:val="none"/>
          <w:lang w:val="en-US" w:eastAsia="zh-CN"/>
        </w:rPr>
        <w:t>18</w:t>
      </w:r>
      <w:r>
        <w:rPr>
          <w:rFonts w:hint="eastAsia" w:ascii="Times New Roman" w:eastAsia="仿宋_GB2312"/>
          <w:sz w:val="32"/>
          <w:highlight w:val="none"/>
        </w:rPr>
        <w:t>个三级指标。项目资金预算执行率</w:t>
      </w:r>
      <w:r>
        <w:rPr>
          <w:rFonts w:hint="eastAsia" w:ascii="Times New Roman" w:eastAsia="仿宋_GB2312"/>
          <w:sz w:val="32"/>
          <w:highlight w:val="none"/>
          <w:lang w:val="en-US" w:eastAsia="zh-CN"/>
        </w:rPr>
        <w:t>100</w:t>
      </w:r>
      <w:r>
        <w:rPr>
          <w:rFonts w:hint="eastAsia" w:ascii="Times New Roman" w:eastAsia="仿宋_GB2312"/>
          <w:sz w:val="32"/>
          <w:highlight w:val="none"/>
        </w:rPr>
        <w:t>%，一级指标得分情况详见下表：</w:t>
      </w:r>
    </w:p>
    <w:tbl>
      <w:tblPr>
        <w:tblStyle w:val="21"/>
        <w:tblW w:w="9039"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33"/>
        <w:gridCol w:w="1678"/>
        <w:gridCol w:w="1560"/>
        <w:gridCol w:w="226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blHeader/>
        </w:trPr>
        <w:tc>
          <w:tcPr>
            <w:tcW w:w="3533"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rPr>
                <w:rFonts w:ascii="宋体" w:hAnsi="宋体" w:cs="宋体"/>
                <w:b/>
                <w:color w:val="000000"/>
                <w:kern w:val="0"/>
                <w:sz w:val="24"/>
                <w:highlight w:val="none"/>
                <w:shd w:val="clear" w:color="auto" w:fill="BDD6EE"/>
              </w:rPr>
            </w:pPr>
            <w:r>
              <w:rPr>
                <w:rFonts w:hint="eastAsia" w:ascii="宋体" w:hAnsi="宋体" w:cs="宋体"/>
                <w:b/>
                <w:color w:val="000000"/>
                <w:kern w:val="0"/>
                <w:sz w:val="24"/>
                <w:highlight w:val="none"/>
                <w:shd w:val="clear" w:color="auto" w:fill="BDD6EE"/>
              </w:rPr>
              <w:t>一级指标</w:t>
            </w:r>
          </w:p>
        </w:tc>
        <w:tc>
          <w:tcPr>
            <w:tcW w:w="1678"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both"/>
              <w:rPr>
                <w:rFonts w:ascii="宋体" w:hAnsi="宋体" w:cs="宋体"/>
                <w:b/>
                <w:color w:val="000000"/>
                <w:kern w:val="0"/>
                <w:sz w:val="24"/>
                <w:highlight w:val="none"/>
                <w:shd w:val="clear" w:color="auto" w:fill="BDD6EE"/>
              </w:rPr>
            </w:pPr>
            <w:r>
              <w:rPr>
                <w:rFonts w:hint="eastAsia" w:ascii="宋体" w:hAnsi="宋体" w:cs="宋体"/>
                <w:b/>
                <w:color w:val="000000"/>
                <w:kern w:val="0"/>
                <w:sz w:val="24"/>
                <w:highlight w:val="none"/>
                <w:shd w:val="clear" w:color="auto" w:fill="BDD6EE"/>
              </w:rPr>
              <w:t>分值</w:t>
            </w:r>
          </w:p>
        </w:tc>
        <w:tc>
          <w:tcPr>
            <w:tcW w:w="1560"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rPr>
                <w:rFonts w:ascii="宋体" w:hAnsi="宋体" w:cs="宋体"/>
                <w:b/>
                <w:color w:val="000000"/>
                <w:kern w:val="0"/>
                <w:sz w:val="24"/>
                <w:highlight w:val="none"/>
                <w:shd w:val="clear" w:color="auto" w:fill="BDD6EE"/>
              </w:rPr>
            </w:pPr>
            <w:r>
              <w:rPr>
                <w:rFonts w:hint="eastAsia" w:ascii="宋体" w:hAnsi="宋体" w:cs="宋体"/>
                <w:b/>
                <w:color w:val="000000"/>
                <w:kern w:val="0"/>
                <w:sz w:val="24"/>
                <w:highlight w:val="none"/>
                <w:shd w:val="clear" w:color="auto" w:fill="BDD6EE"/>
              </w:rPr>
              <w:t>自评得分</w:t>
            </w:r>
          </w:p>
        </w:tc>
        <w:tc>
          <w:tcPr>
            <w:tcW w:w="2268"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rPr>
                <w:rFonts w:ascii="宋体" w:hAnsi="宋体" w:cs="宋体"/>
                <w:b/>
                <w:color w:val="000000"/>
                <w:kern w:val="0"/>
                <w:sz w:val="24"/>
                <w:highlight w:val="none"/>
                <w:shd w:val="clear" w:color="auto" w:fill="BDD6EE"/>
              </w:rPr>
            </w:pPr>
            <w:r>
              <w:rPr>
                <w:rFonts w:hint="eastAsia" w:ascii="宋体" w:hAnsi="宋体" w:cs="宋体"/>
                <w:b/>
                <w:color w:val="000000"/>
                <w:kern w:val="0"/>
                <w:sz w:val="24"/>
                <w:highlight w:val="none"/>
                <w:shd w:val="clear" w:color="auto" w:fill="BDD6EE"/>
              </w:rPr>
              <w:t>得分率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9" w:hRule="atLeast"/>
        </w:trPr>
        <w:tc>
          <w:tcPr>
            <w:tcW w:w="3533" w:type="dxa"/>
            <w:vAlign w:val="center"/>
          </w:tcPr>
          <w:p>
            <w:pPr>
              <w:pageBreakBefore w:val="0"/>
              <w:widowControl/>
              <w:kinsoku/>
              <w:wordWrap/>
              <w:overflowPunct w:val="0"/>
              <w:topLinePunct w:val="0"/>
              <w:autoSpaceDE w:val="0"/>
              <w:autoSpaceDN w:val="0"/>
              <w:bidi w:val="0"/>
              <w:adjustRightInd/>
              <w:snapToGrid/>
              <w:spacing w:line="240" w:lineRule="auto"/>
              <w:jc w:val="left"/>
              <w:rPr>
                <w:rFonts w:hAnsi="宋体" w:cs="宋体"/>
                <w:color w:val="000000"/>
                <w:kern w:val="0"/>
                <w:sz w:val="24"/>
                <w:szCs w:val="28"/>
                <w:highlight w:val="none"/>
              </w:rPr>
            </w:pPr>
            <w:r>
              <w:rPr>
                <w:rFonts w:hint="eastAsia" w:hAnsi="宋体" w:cs="宋体"/>
                <w:color w:val="000000"/>
                <w:kern w:val="0"/>
                <w:sz w:val="24"/>
                <w:szCs w:val="28"/>
                <w:highlight w:val="none"/>
              </w:rPr>
              <w:t>预算执行率</w:t>
            </w:r>
          </w:p>
        </w:tc>
        <w:tc>
          <w:tcPr>
            <w:tcW w:w="1678" w:type="dxa"/>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10</w:t>
            </w:r>
          </w:p>
        </w:tc>
        <w:tc>
          <w:tcPr>
            <w:tcW w:w="1560" w:type="dxa"/>
            <w:vAlign w:val="center"/>
          </w:tcPr>
          <w:p>
            <w:pPr>
              <w:pageBreakBefore w:val="0"/>
              <w:kinsoku/>
              <w:wordWrap/>
              <w:overflowPunct w:val="0"/>
              <w:topLinePunct w:val="0"/>
              <w:autoSpaceDE w:val="0"/>
              <w:autoSpaceDN w:val="0"/>
              <w:bidi w:val="0"/>
              <w:adjustRightInd/>
              <w:snapToGrid/>
              <w:spacing w:line="240" w:lineRule="auto"/>
              <w:ind w:left="0" w:leftChars="0" w:firstLine="0" w:firstLineChars="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10</w:t>
            </w:r>
          </w:p>
        </w:tc>
        <w:tc>
          <w:tcPr>
            <w:tcW w:w="2268"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100</w:t>
            </w:r>
            <w:r>
              <w:rPr>
                <w:rFonts w:hint="eastAsia" w:ascii="宋体" w:hAnsi="宋体" w:eastAsia="宋体" w:cs="宋体"/>
                <w:color w:val="000000"/>
                <w:kern w:val="0"/>
                <w:sz w:val="22"/>
                <w:szCs w:val="22"/>
                <w:highlight w:val="none"/>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pageBreakBefore w:val="0"/>
              <w:widowControl/>
              <w:kinsoku/>
              <w:wordWrap/>
              <w:overflowPunct w:val="0"/>
              <w:topLinePunct w:val="0"/>
              <w:autoSpaceDE w:val="0"/>
              <w:autoSpaceDN w:val="0"/>
              <w:bidi w:val="0"/>
              <w:adjustRightInd/>
              <w:snapToGrid/>
              <w:spacing w:line="240" w:lineRule="auto"/>
              <w:jc w:val="left"/>
              <w:rPr>
                <w:rFonts w:hint="eastAsia" w:hAnsi="宋体" w:eastAsia="仿宋_GB2312" w:cs="宋体"/>
                <w:color w:val="000000"/>
                <w:kern w:val="0"/>
                <w:sz w:val="24"/>
                <w:szCs w:val="28"/>
                <w:highlight w:val="none"/>
                <w:lang w:val="en-US" w:eastAsia="zh-CN"/>
              </w:rPr>
            </w:pPr>
            <w:r>
              <w:rPr>
                <w:rFonts w:hint="eastAsia" w:hAnsi="宋体" w:cs="宋体"/>
                <w:color w:val="000000"/>
                <w:kern w:val="0"/>
                <w:sz w:val="24"/>
                <w:szCs w:val="28"/>
                <w:highlight w:val="none"/>
              </w:rPr>
              <w:t>产出</w:t>
            </w:r>
            <w:r>
              <w:rPr>
                <w:rFonts w:hint="eastAsia" w:hAnsi="宋体" w:cs="宋体"/>
                <w:color w:val="000000"/>
                <w:kern w:val="0"/>
                <w:sz w:val="24"/>
                <w:szCs w:val="28"/>
                <w:highlight w:val="none"/>
                <w:lang w:val="en-US" w:eastAsia="zh-CN"/>
              </w:rPr>
              <w:t>指标</w:t>
            </w:r>
          </w:p>
        </w:tc>
        <w:tc>
          <w:tcPr>
            <w:tcW w:w="1678" w:type="dxa"/>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50</w:t>
            </w:r>
          </w:p>
        </w:tc>
        <w:tc>
          <w:tcPr>
            <w:tcW w:w="1560" w:type="dxa"/>
            <w:vAlign w:val="center"/>
          </w:tcPr>
          <w:p>
            <w:pPr>
              <w:pageBreakBefore w:val="0"/>
              <w:kinsoku/>
              <w:wordWrap/>
              <w:overflowPunct w:val="0"/>
              <w:topLinePunct w:val="0"/>
              <w:autoSpaceDE w:val="0"/>
              <w:autoSpaceDN w:val="0"/>
              <w:bidi w:val="0"/>
              <w:adjustRightInd/>
              <w:snapToGrid/>
              <w:spacing w:line="240" w:lineRule="auto"/>
              <w:ind w:left="0" w:leftChars="0" w:firstLine="0" w:firstLineChars="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50</w:t>
            </w:r>
          </w:p>
        </w:tc>
        <w:tc>
          <w:tcPr>
            <w:tcW w:w="2268"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100</w:t>
            </w:r>
            <w:r>
              <w:rPr>
                <w:rFonts w:hint="eastAsia" w:ascii="宋体" w:hAnsi="宋体" w:eastAsia="宋体" w:cs="宋体"/>
                <w:color w:val="000000"/>
                <w:kern w:val="0"/>
                <w:sz w:val="22"/>
                <w:szCs w:val="22"/>
                <w:highlight w:val="none"/>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pageBreakBefore w:val="0"/>
              <w:widowControl/>
              <w:kinsoku/>
              <w:wordWrap/>
              <w:overflowPunct w:val="0"/>
              <w:topLinePunct w:val="0"/>
              <w:autoSpaceDE w:val="0"/>
              <w:autoSpaceDN w:val="0"/>
              <w:bidi w:val="0"/>
              <w:adjustRightInd/>
              <w:snapToGrid/>
              <w:spacing w:line="240" w:lineRule="auto"/>
              <w:jc w:val="left"/>
              <w:rPr>
                <w:rFonts w:hint="eastAsia" w:hAnsi="宋体" w:eastAsia="仿宋_GB2312" w:cs="宋体"/>
                <w:color w:val="000000"/>
                <w:kern w:val="0"/>
                <w:sz w:val="24"/>
                <w:szCs w:val="28"/>
                <w:highlight w:val="none"/>
                <w:lang w:val="en-US" w:eastAsia="zh-CN"/>
              </w:rPr>
            </w:pPr>
            <w:r>
              <w:rPr>
                <w:rFonts w:hint="eastAsia" w:hAnsi="宋体" w:cs="宋体"/>
                <w:color w:val="000000"/>
                <w:kern w:val="0"/>
                <w:sz w:val="24"/>
                <w:szCs w:val="28"/>
                <w:highlight w:val="none"/>
              </w:rPr>
              <w:t>效益</w:t>
            </w:r>
            <w:r>
              <w:rPr>
                <w:rFonts w:hint="eastAsia" w:hAnsi="宋体" w:cs="宋体"/>
                <w:color w:val="000000"/>
                <w:kern w:val="0"/>
                <w:sz w:val="24"/>
                <w:szCs w:val="28"/>
                <w:highlight w:val="none"/>
                <w:lang w:val="en-US" w:eastAsia="zh-CN"/>
              </w:rPr>
              <w:t>指标</w:t>
            </w:r>
          </w:p>
        </w:tc>
        <w:tc>
          <w:tcPr>
            <w:tcW w:w="1678" w:type="dxa"/>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30</w:t>
            </w:r>
          </w:p>
        </w:tc>
        <w:tc>
          <w:tcPr>
            <w:tcW w:w="1560" w:type="dxa"/>
            <w:vAlign w:val="center"/>
          </w:tcPr>
          <w:p>
            <w:pPr>
              <w:pageBreakBefore w:val="0"/>
              <w:kinsoku/>
              <w:wordWrap/>
              <w:overflowPunct w:val="0"/>
              <w:topLinePunct w:val="0"/>
              <w:autoSpaceDE w:val="0"/>
              <w:autoSpaceDN w:val="0"/>
              <w:bidi w:val="0"/>
              <w:adjustRightInd/>
              <w:snapToGrid/>
              <w:spacing w:line="240" w:lineRule="auto"/>
              <w:ind w:left="0" w:leftChars="0" w:firstLine="0" w:firstLineChars="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30</w:t>
            </w:r>
          </w:p>
        </w:tc>
        <w:tc>
          <w:tcPr>
            <w:tcW w:w="2268"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100</w:t>
            </w:r>
            <w:r>
              <w:rPr>
                <w:rFonts w:hint="eastAsia" w:ascii="宋体" w:hAnsi="宋体" w:eastAsia="宋体" w:cs="宋体"/>
                <w:color w:val="000000"/>
                <w:kern w:val="0"/>
                <w:sz w:val="22"/>
                <w:szCs w:val="22"/>
                <w:highlight w:val="none"/>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pageBreakBefore w:val="0"/>
              <w:widowControl/>
              <w:kinsoku/>
              <w:wordWrap/>
              <w:overflowPunct w:val="0"/>
              <w:topLinePunct w:val="0"/>
              <w:autoSpaceDE w:val="0"/>
              <w:autoSpaceDN w:val="0"/>
              <w:bidi w:val="0"/>
              <w:adjustRightInd/>
              <w:snapToGrid/>
              <w:spacing w:line="240" w:lineRule="auto"/>
              <w:jc w:val="left"/>
              <w:rPr>
                <w:rFonts w:hint="eastAsia" w:hAnsi="宋体" w:eastAsia="仿宋_GB2312" w:cs="宋体"/>
                <w:color w:val="000000"/>
                <w:kern w:val="0"/>
                <w:sz w:val="24"/>
                <w:szCs w:val="28"/>
                <w:highlight w:val="none"/>
                <w:lang w:val="en-US" w:eastAsia="zh-CN"/>
              </w:rPr>
            </w:pPr>
            <w:r>
              <w:rPr>
                <w:rFonts w:hint="eastAsia" w:hAnsi="宋体" w:cs="宋体"/>
                <w:color w:val="000000"/>
                <w:kern w:val="0"/>
                <w:sz w:val="24"/>
                <w:szCs w:val="28"/>
                <w:highlight w:val="none"/>
              </w:rPr>
              <w:t>满意度</w:t>
            </w:r>
            <w:r>
              <w:rPr>
                <w:rFonts w:hint="eastAsia" w:hAnsi="宋体" w:cs="宋体"/>
                <w:color w:val="000000"/>
                <w:kern w:val="0"/>
                <w:sz w:val="24"/>
                <w:szCs w:val="28"/>
                <w:highlight w:val="none"/>
                <w:lang w:val="en-US" w:eastAsia="zh-CN"/>
              </w:rPr>
              <w:t>指标</w:t>
            </w:r>
          </w:p>
        </w:tc>
        <w:tc>
          <w:tcPr>
            <w:tcW w:w="1678" w:type="dxa"/>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10</w:t>
            </w:r>
          </w:p>
        </w:tc>
        <w:tc>
          <w:tcPr>
            <w:tcW w:w="1560" w:type="dxa"/>
            <w:vAlign w:val="center"/>
          </w:tcPr>
          <w:p>
            <w:pPr>
              <w:pageBreakBefore w:val="0"/>
              <w:kinsoku/>
              <w:wordWrap/>
              <w:overflowPunct w:val="0"/>
              <w:topLinePunct w:val="0"/>
              <w:autoSpaceDE w:val="0"/>
              <w:autoSpaceDN w:val="0"/>
              <w:bidi w:val="0"/>
              <w:adjustRightInd/>
              <w:snapToGrid/>
              <w:spacing w:line="240" w:lineRule="auto"/>
              <w:ind w:left="0" w:leftChars="0" w:firstLine="0" w:firstLineChars="0"/>
              <w:jc w:val="center"/>
              <w:textAlignment w:val="center"/>
              <w:rPr>
                <w:rFonts w:ascii="宋体" w:hAnsi="宋体" w:eastAsia="宋体" w:cs="宋体"/>
                <w:color w:val="000000"/>
                <w:kern w:val="0"/>
                <w:sz w:val="22"/>
                <w:szCs w:val="22"/>
                <w:highlight w:val="none"/>
              </w:rPr>
            </w:pPr>
            <w:r>
              <w:rPr>
                <w:rFonts w:ascii="宋体" w:hAnsi="宋体" w:eastAsia="宋体" w:cs="宋体"/>
                <w:color w:val="000000"/>
                <w:kern w:val="0"/>
                <w:sz w:val="22"/>
                <w:szCs w:val="22"/>
                <w:highlight w:val="none"/>
              </w:rPr>
              <w:t>10</w:t>
            </w:r>
          </w:p>
        </w:tc>
        <w:tc>
          <w:tcPr>
            <w:tcW w:w="2268"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rPr>
                <w:rFonts w:ascii="宋体" w:hAnsi="宋体" w:cs="宋体"/>
                <w:b/>
                <w:color w:val="000000"/>
                <w:kern w:val="0"/>
                <w:sz w:val="24"/>
                <w:highlight w:val="none"/>
                <w:shd w:val="clear" w:color="auto" w:fill="BDD6EE"/>
              </w:rPr>
            </w:pPr>
            <w:r>
              <w:rPr>
                <w:rFonts w:hint="eastAsia" w:ascii="宋体" w:hAnsi="宋体" w:cs="宋体"/>
                <w:b/>
                <w:color w:val="000000"/>
                <w:kern w:val="0"/>
                <w:sz w:val="24"/>
                <w:highlight w:val="none"/>
                <w:shd w:val="clear" w:color="auto" w:fill="BDD6EE"/>
              </w:rPr>
              <w:t>合计</w:t>
            </w:r>
          </w:p>
        </w:tc>
        <w:tc>
          <w:tcPr>
            <w:tcW w:w="1678"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100</w:t>
            </w:r>
          </w:p>
        </w:tc>
        <w:tc>
          <w:tcPr>
            <w:tcW w:w="1560"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hint="default" w:ascii="宋体" w:hAnsi="宋体" w:eastAsia="宋体" w:cs="宋体"/>
                <w:b/>
                <w:color w:val="000000"/>
                <w:kern w:val="0"/>
                <w:sz w:val="22"/>
                <w:szCs w:val="22"/>
                <w:highlight w:val="none"/>
                <w:lang w:val="en-US" w:eastAsia="zh-CN"/>
              </w:rPr>
            </w:pPr>
            <w:r>
              <w:rPr>
                <w:rFonts w:hint="eastAsia" w:ascii="宋体" w:hAnsi="宋体" w:eastAsia="宋体" w:cs="宋体"/>
                <w:b/>
                <w:color w:val="000000"/>
                <w:kern w:val="0"/>
                <w:sz w:val="22"/>
                <w:szCs w:val="22"/>
                <w:highlight w:val="none"/>
                <w:lang w:val="en-US" w:eastAsia="zh-CN"/>
              </w:rPr>
              <w:t>100</w:t>
            </w:r>
          </w:p>
        </w:tc>
        <w:tc>
          <w:tcPr>
            <w:tcW w:w="2268"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lang w:val="en-US" w:eastAsia="zh-CN"/>
              </w:rPr>
              <w:t>100</w:t>
            </w:r>
            <w:r>
              <w:rPr>
                <w:rFonts w:hint="eastAsia" w:ascii="宋体" w:hAnsi="宋体" w:eastAsia="宋体" w:cs="宋体"/>
                <w:b/>
                <w:color w:val="000000"/>
                <w:kern w:val="0"/>
                <w:sz w:val="22"/>
                <w:szCs w:val="22"/>
                <w:highlight w:val="none"/>
              </w:rPr>
              <w:t>%</w:t>
            </w:r>
          </w:p>
        </w:tc>
      </w:tr>
    </w:tbl>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2"/>
        <w:rPr>
          <w:rFonts w:ascii="Times New Roman" w:eastAsia="仿宋_GB2312"/>
          <w:b/>
          <w:sz w:val="32"/>
          <w:szCs w:val="28"/>
        </w:rPr>
      </w:pPr>
      <w:r>
        <w:rPr>
          <w:rFonts w:hint="eastAsia" w:ascii="Times New Roman" w:eastAsia="仿宋_GB2312"/>
          <w:b/>
          <w:sz w:val="32"/>
          <w:szCs w:val="28"/>
        </w:rPr>
        <w:t>1</w:t>
      </w:r>
      <w:r>
        <w:rPr>
          <w:rFonts w:hint="eastAsia" w:ascii="Times New Roman" w:eastAsia="仿宋_GB2312"/>
          <w:b/>
          <w:sz w:val="32"/>
          <w:szCs w:val="28"/>
          <w:lang w:eastAsia="zh-CN"/>
        </w:rPr>
        <w:t>.</w:t>
      </w:r>
      <w:r>
        <w:rPr>
          <w:rFonts w:hint="eastAsia" w:ascii="Times New Roman" w:eastAsia="仿宋_GB2312"/>
          <w:b/>
          <w:sz w:val="32"/>
          <w:szCs w:val="28"/>
        </w:rPr>
        <w:t>项目支出预算执行情况</w:t>
      </w:r>
      <w:bookmarkEnd w:id="80"/>
    </w:p>
    <w:p>
      <w:pPr>
        <w:pStyle w:val="5"/>
        <w:bidi w:val="0"/>
        <w:rPr>
          <w:rFonts w:hint="eastAsia" w:ascii="Times New Roman" w:hAnsi="仿宋_GB2312" w:eastAsia="仿宋_GB2312" w:cstheme="minorBidi"/>
          <w:b w:val="0"/>
          <w:bCs w:val="0"/>
          <w:kern w:val="2"/>
          <w:sz w:val="32"/>
          <w:szCs w:val="22"/>
          <w:lang w:val="en-US" w:eastAsia="zh-CN" w:bidi="ar-SA"/>
        </w:rPr>
      </w:pPr>
      <w:r>
        <w:rPr>
          <w:rFonts w:hint="eastAsia" w:ascii="Times New Roman" w:hAnsi="仿宋_GB2312" w:eastAsia="仿宋_GB2312" w:cstheme="minorBidi"/>
          <w:b w:val="0"/>
          <w:bCs w:val="0"/>
          <w:kern w:val="2"/>
          <w:sz w:val="32"/>
          <w:szCs w:val="22"/>
          <w:lang w:val="en-US" w:eastAsia="zh-CN" w:bidi="ar-SA"/>
        </w:rPr>
        <w:t>法庭运维费项目年初预算数、全年预算数以及全年执行数均为32</w:t>
      </w:r>
      <w:r>
        <w:rPr>
          <w:rFonts w:hint="eastAsia" w:ascii="Times New Roman" w:cstheme="minorBidi"/>
          <w:b w:val="0"/>
          <w:bCs w:val="0"/>
          <w:kern w:val="2"/>
          <w:sz w:val="32"/>
          <w:szCs w:val="22"/>
          <w:lang w:val="en-US" w:eastAsia="zh-CN" w:bidi="ar-SA"/>
        </w:rPr>
        <w:t>.00</w:t>
      </w:r>
      <w:r>
        <w:rPr>
          <w:rFonts w:hint="eastAsia" w:ascii="Times New Roman" w:hAnsi="仿宋_GB2312" w:eastAsia="仿宋_GB2312" w:cstheme="minorBidi"/>
          <w:b w:val="0"/>
          <w:bCs w:val="0"/>
          <w:kern w:val="2"/>
          <w:sz w:val="32"/>
          <w:szCs w:val="22"/>
          <w:lang w:val="en-US" w:eastAsia="zh-CN" w:bidi="ar-SA"/>
        </w:rPr>
        <w:t>万元，预算执行率100%，满分10分，得分10分。</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2"/>
        <w:rPr>
          <w:rFonts w:ascii="Times New Roman" w:eastAsia="仿宋_GB2312"/>
          <w:b/>
          <w:sz w:val="32"/>
          <w:szCs w:val="28"/>
        </w:rPr>
      </w:pPr>
      <w:bookmarkStart w:id="81" w:name="_Toc40046041"/>
      <w:r>
        <w:rPr>
          <w:rFonts w:hint="eastAsia" w:ascii="Times New Roman" w:eastAsia="仿宋_GB2312"/>
          <w:b/>
          <w:sz w:val="32"/>
          <w:szCs w:val="28"/>
        </w:rPr>
        <w:t>2</w:t>
      </w:r>
      <w:r>
        <w:rPr>
          <w:rFonts w:hint="eastAsia" w:ascii="Times New Roman" w:eastAsia="仿宋_GB2312"/>
          <w:b/>
          <w:sz w:val="32"/>
          <w:szCs w:val="28"/>
          <w:lang w:eastAsia="zh-CN"/>
        </w:rPr>
        <w:t>.</w:t>
      </w:r>
      <w:r>
        <w:rPr>
          <w:rFonts w:hint="eastAsia" w:ascii="Times New Roman" w:eastAsia="仿宋_GB2312"/>
          <w:b/>
          <w:sz w:val="32"/>
          <w:szCs w:val="28"/>
        </w:rPr>
        <w:t>总体绩效目标完成情况分析</w:t>
      </w:r>
      <w:bookmarkEnd w:id="81"/>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eastAsia" w:ascii="Times New Roman" w:eastAsia="仿宋_GB2312"/>
          <w:sz w:val="32"/>
        </w:rPr>
      </w:pPr>
      <w:bookmarkStart w:id="82" w:name="_Toc40046042"/>
      <w:r>
        <w:rPr>
          <w:rFonts w:hint="eastAsia" w:ascii="Times New Roman" w:eastAsia="仿宋_GB2312"/>
          <w:sz w:val="32"/>
        </w:rPr>
        <w:t>我院通过对公务用车运行维护、办公用水、办公用电工作的开展，保障了</w:t>
      </w:r>
      <w:r>
        <w:rPr>
          <w:rFonts w:hint="eastAsia" w:ascii="Times New Roman" w:eastAsia="仿宋_GB2312"/>
          <w:sz w:val="32"/>
          <w:lang w:val="en-US" w:eastAsia="zh-CN"/>
        </w:rPr>
        <w:t>4</w:t>
      </w:r>
      <w:r>
        <w:rPr>
          <w:rFonts w:hint="eastAsia" w:ascii="Times New Roman" w:eastAsia="仿宋_GB2312"/>
          <w:sz w:val="32"/>
        </w:rPr>
        <w:t>个人民法庭的日常运行，有效改善我院的日常环境，为我院执法办案工作提供良好的办公环境。</w:t>
      </w:r>
    </w:p>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ascii="Times New Roman" w:eastAsia="仿宋_GB2312"/>
          <w:b/>
          <w:sz w:val="32"/>
        </w:rPr>
      </w:pPr>
      <w:r>
        <w:rPr>
          <w:rFonts w:hint="eastAsia" w:ascii="Times New Roman" w:eastAsia="仿宋_GB2312"/>
          <w:b/>
          <w:sz w:val="32"/>
        </w:rPr>
        <w:t>3</w:t>
      </w:r>
      <w:r>
        <w:rPr>
          <w:rFonts w:hint="eastAsia" w:ascii="Times New Roman" w:eastAsia="仿宋_GB2312"/>
          <w:b/>
          <w:sz w:val="32"/>
          <w:lang w:eastAsia="zh-CN"/>
        </w:rPr>
        <w:t>.</w:t>
      </w:r>
      <w:r>
        <w:rPr>
          <w:rFonts w:hint="eastAsia" w:ascii="Times New Roman" w:eastAsia="仿宋_GB2312"/>
          <w:b/>
          <w:sz w:val="32"/>
        </w:rPr>
        <w:t>各项指标完成情况分析</w:t>
      </w:r>
      <w:bookmarkEnd w:id="82"/>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szCs w:val="28"/>
        </w:rPr>
      </w:pPr>
      <w:r>
        <w:rPr>
          <w:rFonts w:hint="eastAsia" w:ascii="Times New Roman" w:eastAsia="仿宋_GB2312"/>
          <w:b/>
          <w:bCs/>
          <w:sz w:val="32"/>
          <w:szCs w:val="28"/>
        </w:rPr>
        <w:t>（1）产出指标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cs="仿宋_GB2312"/>
          <w:sz w:val="32"/>
          <w:szCs w:val="28"/>
        </w:rPr>
      </w:pPr>
      <w:r>
        <w:rPr>
          <w:rFonts w:hint="eastAsia" w:ascii="Times New Roman" w:eastAsia="仿宋_GB2312" w:cs="仿宋_GB2312"/>
          <w:sz w:val="32"/>
          <w:szCs w:val="28"/>
        </w:rPr>
        <w:t>产出指标下设数量</w:t>
      </w:r>
      <w:r>
        <w:rPr>
          <w:rFonts w:hint="eastAsia" w:ascii="Times New Roman" w:eastAsia="仿宋_GB2312" w:cs="仿宋_GB2312"/>
          <w:sz w:val="32"/>
          <w:szCs w:val="28"/>
          <w:lang w:eastAsia="zh-CN"/>
        </w:rPr>
        <w:t>、</w:t>
      </w:r>
      <w:r>
        <w:rPr>
          <w:rFonts w:hint="eastAsia" w:ascii="Times New Roman" w:eastAsia="仿宋_GB2312" w:cs="仿宋_GB2312"/>
          <w:sz w:val="32"/>
          <w:szCs w:val="28"/>
        </w:rPr>
        <w:t>质量</w:t>
      </w:r>
      <w:r>
        <w:rPr>
          <w:rFonts w:hint="eastAsia" w:ascii="Times New Roman" w:eastAsia="仿宋_GB2312" w:cs="仿宋_GB2312"/>
          <w:sz w:val="32"/>
          <w:szCs w:val="28"/>
          <w:lang w:eastAsia="zh-CN"/>
        </w:rPr>
        <w:t>、时效和成本</w:t>
      </w:r>
      <w:r>
        <w:rPr>
          <w:rFonts w:hint="eastAsia" w:ascii="Times New Roman" w:eastAsia="仿宋_GB2312" w:cs="仿宋_GB2312"/>
          <w:sz w:val="32"/>
          <w:szCs w:val="28"/>
          <w:lang w:val="en-US" w:eastAsia="zh-CN"/>
        </w:rPr>
        <w:t>4</w:t>
      </w:r>
      <w:r>
        <w:rPr>
          <w:rFonts w:hint="eastAsia" w:ascii="Times New Roman" w:eastAsia="仿宋_GB2312" w:cs="仿宋_GB2312"/>
          <w:sz w:val="32"/>
          <w:szCs w:val="28"/>
        </w:rPr>
        <w:t>个二级指标。</w:t>
      </w:r>
      <w:r>
        <w:rPr>
          <w:rFonts w:hint="eastAsia" w:ascii="Times New Roman" w:eastAsia="仿宋_GB2312" w:cs="仿宋_GB2312"/>
          <w:sz w:val="32"/>
          <w:szCs w:val="28"/>
          <w:lang w:val="en-US" w:eastAsia="zh-CN"/>
        </w:rPr>
        <w:t>指标</w:t>
      </w:r>
      <w:r>
        <w:rPr>
          <w:rFonts w:hint="eastAsia" w:ascii="Times New Roman" w:eastAsia="仿宋_GB2312" w:cs="仿宋_GB2312"/>
          <w:sz w:val="32"/>
          <w:szCs w:val="28"/>
        </w:rPr>
        <w:t>分值50分，</w:t>
      </w:r>
      <w:r>
        <w:rPr>
          <w:rFonts w:hint="eastAsia" w:ascii="Times New Roman" w:eastAsia="仿宋_GB2312" w:cs="仿宋_GB2312"/>
          <w:sz w:val="32"/>
          <w:szCs w:val="28"/>
          <w:lang w:val="en-US" w:eastAsia="zh-CN"/>
        </w:rPr>
        <w:t>自评</w:t>
      </w:r>
      <w:r>
        <w:rPr>
          <w:rFonts w:hint="eastAsia" w:ascii="Times New Roman" w:eastAsia="仿宋_GB2312" w:cs="仿宋_GB2312"/>
          <w:sz w:val="32"/>
          <w:szCs w:val="28"/>
        </w:rPr>
        <w:t>得分</w:t>
      </w:r>
      <w:r>
        <w:rPr>
          <w:rFonts w:hint="eastAsia" w:ascii="Times New Roman" w:eastAsia="仿宋_GB2312" w:cs="仿宋_GB2312"/>
          <w:sz w:val="32"/>
          <w:szCs w:val="28"/>
          <w:lang w:val="en-US" w:eastAsia="zh-CN"/>
        </w:rPr>
        <w:t>50</w:t>
      </w:r>
      <w:r>
        <w:rPr>
          <w:rFonts w:hint="eastAsia" w:ascii="Times New Roman" w:eastAsia="仿宋_GB2312" w:cs="仿宋_GB2312"/>
          <w:sz w:val="32"/>
          <w:szCs w:val="28"/>
        </w:rPr>
        <w:t>分，得分率</w:t>
      </w:r>
      <w:r>
        <w:rPr>
          <w:rFonts w:hint="eastAsia" w:ascii="Times New Roman" w:cs="仿宋_GB2312"/>
          <w:sz w:val="32"/>
          <w:szCs w:val="28"/>
          <w:lang w:val="en-US" w:eastAsia="zh-CN"/>
        </w:rPr>
        <w:t>为</w:t>
      </w:r>
      <w:r>
        <w:rPr>
          <w:rFonts w:hint="eastAsia" w:ascii="Times New Roman" w:eastAsia="仿宋_GB2312" w:cs="仿宋_GB2312"/>
          <w:sz w:val="32"/>
          <w:szCs w:val="28"/>
          <w:lang w:val="en-US" w:eastAsia="zh-CN"/>
        </w:rPr>
        <w:t>100</w:t>
      </w:r>
      <w:r>
        <w:rPr>
          <w:rFonts w:hint="eastAsia" w:ascii="Times New Roman" w:eastAsia="仿宋_GB2312" w:cs="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cs="仿宋_GB2312"/>
          <w:sz w:val="32"/>
          <w:szCs w:val="28"/>
        </w:rPr>
      </w:pPr>
      <w:r>
        <w:rPr>
          <w:rFonts w:hint="eastAsia" w:ascii="Times New Roman" w:eastAsia="仿宋_GB2312"/>
          <w:b/>
          <w:bCs/>
          <w:sz w:val="32"/>
          <w:szCs w:val="28"/>
        </w:rPr>
        <w:t>①数量指标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hAnsi="宋体" w:eastAsia="仿宋_GB2312"/>
          <w:sz w:val="32"/>
          <w:szCs w:val="28"/>
        </w:rPr>
      </w:pPr>
      <w:r>
        <w:rPr>
          <w:rFonts w:hint="eastAsia" w:ascii="Times New Roman" w:eastAsia="仿宋_GB2312"/>
          <w:sz w:val="32"/>
        </w:rPr>
        <w:t>数量指标下设</w:t>
      </w:r>
      <w:r>
        <w:rPr>
          <w:rFonts w:hint="eastAsia" w:ascii="Times New Roman" w:eastAsia="仿宋_GB2312"/>
          <w:sz w:val="32"/>
          <w:lang w:val="en-US" w:eastAsia="zh-CN"/>
        </w:rPr>
        <w:t>3</w:t>
      </w:r>
      <w:r>
        <w:rPr>
          <w:rFonts w:hint="eastAsia" w:ascii="Times New Roman" w:eastAsia="仿宋_GB2312"/>
          <w:sz w:val="32"/>
        </w:rPr>
        <w:t>个三级指标，</w:t>
      </w:r>
      <w:r>
        <w:rPr>
          <w:rFonts w:hint="eastAsia" w:ascii="Times New Roman" w:hAnsi="宋体" w:eastAsia="仿宋_GB2312"/>
          <w:sz w:val="32"/>
          <w:szCs w:val="28"/>
        </w:rPr>
        <w:t>指标权重合计</w:t>
      </w:r>
      <w:r>
        <w:rPr>
          <w:rFonts w:hint="eastAsia" w:ascii="Times New Roman" w:hAnsi="宋体" w:eastAsia="仿宋_GB2312"/>
          <w:sz w:val="32"/>
          <w:szCs w:val="28"/>
          <w:lang w:val="en-US" w:eastAsia="zh-CN"/>
        </w:rPr>
        <w:t>15</w:t>
      </w:r>
      <w:r>
        <w:rPr>
          <w:rFonts w:hint="eastAsia" w:ascii="Times New Roman" w:hAnsi="宋体" w:eastAsia="仿宋_GB2312"/>
          <w:sz w:val="32"/>
          <w:szCs w:val="28"/>
        </w:rPr>
        <w:t>分，自评得分</w:t>
      </w:r>
      <w:r>
        <w:rPr>
          <w:rFonts w:hint="eastAsia" w:ascii="Times New Roman" w:hAnsi="宋体" w:eastAsia="仿宋_GB2312"/>
          <w:sz w:val="32"/>
          <w:szCs w:val="28"/>
          <w:lang w:val="en-US" w:eastAsia="zh-CN"/>
        </w:rPr>
        <w:t>15</w:t>
      </w:r>
      <w:r>
        <w:rPr>
          <w:rFonts w:hint="eastAsia" w:ascii="Times New Roman" w:hAnsi="宋体" w:eastAsia="仿宋_GB2312"/>
          <w:sz w:val="32"/>
          <w:szCs w:val="28"/>
        </w:rPr>
        <w:t>分，得分率为</w:t>
      </w:r>
      <w:r>
        <w:rPr>
          <w:rFonts w:hint="eastAsia" w:ascii="Times New Roman" w:hAnsi="宋体" w:eastAsia="仿宋_GB2312"/>
          <w:sz w:val="32"/>
          <w:szCs w:val="28"/>
          <w:lang w:val="en-US" w:eastAsia="zh-CN"/>
        </w:rPr>
        <w:t>100</w:t>
      </w:r>
      <w:r>
        <w:rPr>
          <w:rFonts w:hint="eastAsia" w:ascii="Times New Roman" w:hAnsi="宋体" w:eastAsia="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sz w:val="32"/>
          <w:szCs w:val="28"/>
          <w:highlight w:val="none"/>
        </w:rPr>
      </w:pPr>
      <w:r>
        <w:rPr>
          <w:rFonts w:hint="eastAsia" w:ascii="Times New Roman" w:hAnsi="宋体" w:eastAsia="仿宋_GB2312" w:cstheme="minorBidi"/>
          <w:b/>
          <w:bCs/>
          <w:kern w:val="2"/>
          <w:sz w:val="32"/>
          <w:szCs w:val="28"/>
          <w:lang w:val="en-US" w:eastAsia="zh-CN" w:bidi="ar-SA"/>
        </w:rPr>
        <w:t>结案数：</w:t>
      </w:r>
      <w:r>
        <w:rPr>
          <w:rFonts w:hint="eastAsia" w:ascii="Times New Roman" w:hAnsi="宋体" w:eastAsia="仿宋_GB2312"/>
          <w:sz w:val="32"/>
          <w:szCs w:val="28"/>
          <w:highlight w:val="none"/>
          <w:lang w:val="en-US" w:eastAsia="zh-CN"/>
        </w:rPr>
        <w:t>年度指标值&gt;=750件，实际完成773件。达到年度目标值。</w:t>
      </w:r>
      <w:r>
        <w:rPr>
          <w:rFonts w:hint="eastAsia" w:ascii="Times New Roman" w:hAnsi="宋体" w:eastAsia="仿宋_GB2312" w:cstheme="minorBidi"/>
          <w:kern w:val="2"/>
          <w:sz w:val="32"/>
          <w:szCs w:val="28"/>
          <w:highlight w:val="none"/>
          <w:lang w:val="en-US" w:eastAsia="zh-CN" w:bidi="ar-SA"/>
        </w:rPr>
        <w:t>该指标分值5分，自评得分为5分，得分率为100%。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cstheme="minorBidi"/>
          <w:kern w:val="2"/>
          <w:sz w:val="32"/>
          <w:szCs w:val="28"/>
          <w:highlight w:val="none"/>
          <w:lang w:val="en-US" w:eastAsia="zh-CN" w:bidi="ar-SA"/>
        </w:rPr>
      </w:pPr>
      <w:r>
        <w:rPr>
          <w:rFonts w:hint="eastAsia" w:ascii="Times New Roman" w:hAnsi="宋体" w:eastAsia="仿宋_GB2312" w:cstheme="minorBidi"/>
          <w:b/>
          <w:bCs/>
          <w:kern w:val="2"/>
          <w:sz w:val="32"/>
          <w:szCs w:val="28"/>
          <w:highlight w:val="none"/>
          <w:lang w:val="en-US" w:eastAsia="zh-CN" w:bidi="ar-SA"/>
        </w:rPr>
        <w:t>受理各项案件：</w:t>
      </w:r>
      <w:r>
        <w:rPr>
          <w:rFonts w:hint="eastAsia" w:ascii="Times New Roman" w:hAnsi="宋体" w:eastAsia="仿宋_GB2312"/>
          <w:sz w:val="32"/>
          <w:szCs w:val="28"/>
          <w:highlight w:val="none"/>
          <w:lang w:val="en-US" w:eastAsia="zh-CN"/>
        </w:rPr>
        <w:t>年度指标值&gt;=800件，实际完成778件。达到年度目标值。</w:t>
      </w:r>
      <w:r>
        <w:rPr>
          <w:rFonts w:hint="eastAsia" w:ascii="Times New Roman" w:hAnsi="宋体" w:eastAsia="仿宋_GB2312" w:cstheme="minorBidi"/>
          <w:kern w:val="2"/>
          <w:sz w:val="32"/>
          <w:szCs w:val="28"/>
          <w:highlight w:val="none"/>
          <w:lang w:val="en-US" w:eastAsia="zh-CN" w:bidi="ar-SA"/>
        </w:rPr>
        <w:t>该指标分值5分，自评得分为5分，得分率为100%。</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hAnsi="宋体" w:eastAsia="仿宋_GB2312" w:cstheme="minorBidi"/>
          <w:kern w:val="2"/>
          <w:sz w:val="32"/>
          <w:szCs w:val="28"/>
          <w:lang w:val="en-US" w:eastAsia="zh-CN" w:bidi="ar-SA"/>
        </w:rPr>
      </w:pPr>
      <w:r>
        <w:rPr>
          <w:rFonts w:hint="eastAsia" w:ascii="Times New Roman" w:hAnsi="宋体" w:eastAsia="仿宋_GB2312"/>
          <w:b/>
          <w:bCs/>
          <w:sz w:val="32"/>
          <w:szCs w:val="28"/>
          <w:lang w:val="en-US" w:eastAsia="zh-CN"/>
        </w:rPr>
        <w:t>项目验收合格率：</w:t>
      </w:r>
      <w:r>
        <w:rPr>
          <w:rFonts w:hint="eastAsia" w:ascii="Times New Roman" w:hAnsi="宋体" w:eastAsia="仿宋_GB2312"/>
          <w:sz w:val="32"/>
          <w:szCs w:val="28"/>
          <w:highlight w:val="none"/>
          <w:lang w:val="en-US" w:eastAsia="zh-CN"/>
        </w:rPr>
        <w:t>年度指标值=90%，实际完成100%。</w:t>
      </w:r>
      <w:r>
        <w:rPr>
          <w:rFonts w:hint="eastAsia" w:ascii="Times New Roman" w:hAnsi="宋体" w:eastAsia="仿宋_GB2312" w:cstheme="minorBidi"/>
          <w:kern w:val="2"/>
          <w:sz w:val="32"/>
          <w:szCs w:val="28"/>
          <w:lang w:val="en-US" w:eastAsia="zh-CN" w:bidi="ar-SA"/>
        </w:rPr>
        <w:t>该指标分值5分，自评得分为5分，得分率为100%。</w:t>
      </w:r>
    </w:p>
    <w:p>
      <w:pPr>
        <w:pStyle w:val="19"/>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b/>
          <w:bCs/>
          <w:sz w:val="32"/>
          <w:szCs w:val="28"/>
        </w:rPr>
      </w:pPr>
      <w:r>
        <w:rPr>
          <w:rFonts w:hint="eastAsia" w:ascii="Times New Roman" w:hAnsi="仿宋_GB2312" w:eastAsia="仿宋_GB2312" w:cstheme="minorBidi"/>
          <w:b/>
          <w:bCs/>
          <w:kern w:val="2"/>
          <w:sz w:val="32"/>
          <w:szCs w:val="28"/>
          <w:lang w:val="en-US" w:eastAsia="zh-CN" w:bidi="ar-SA"/>
        </w:rPr>
        <w:t>②</w:t>
      </w:r>
      <w:r>
        <w:rPr>
          <w:rFonts w:hint="eastAsia" w:ascii="Times New Roman" w:hAnsi="Calibri" w:eastAsia="仿宋_GB2312" w:cs="Calibri"/>
          <w:b/>
          <w:bCs/>
          <w:sz w:val="32"/>
          <w:szCs w:val="28"/>
        </w:rPr>
        <w:t>质量</w:t>
      </w:r>
      <w:r>
        <w:rPr>
          <w:rFonts w:hint="eastAsia" w:ascii="Times New Roman" w:hAnsi="宋体" w:eastAsia="仿宋_GB2312"/>
          <w:b/>
          <w:bCs/>
          <w:sz w:val="32"/>
          <w:szCs w:val="28"/>
        </w:rPr>
        <w:t>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hAnsi="宋体" w:eastAsia="仿宋_GB2312"/>
          <w:sz w:val="32"/>
          <w:szCs w:val="28"/>
        </w:rPr>
      </w:pPr>
      <w:r>
        <w:rPr>
          <w:rFonts w:hint="eastAsia" w:ascii="Times New Roman" w:eastAsia="仿宋_GB2312"/>
          <w:sz w:val="32"/>
        </w:rPr>
        <w:t>质量指标下设</w:t>
      </w:r>
      <w:r>
        <w:rPr>
          <w:rFonts w:hint="eastAsia" w:ascii="Times New Roman" w:eastAsia="仿宋_GB2312"/>
          <w:sz w:val="32"/>
          <w:lang w:val="en-US" w:eastAsia="zh-CN"/>
        </w:rPr>
        <w:t>1</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分值5</w:t>
      </w:r>
      <w:r>
        <w:rPr>
          <w:rFonts w:hint="eastAsia" w:ascii="Times New Roman" w:hAnsi="宋体" w:eastAsia="仿宋_GB2312"/>
          <w:sz w:val="32"/>
          <w:szCs w:val="28"/>
        </w:rPr>
        <w:t>分，自评得分</w:t>
      </w:r>
      <w:r>
        <w:rPr>
          <w:rFonts w:hint="eastAsia" w:ascii="Times New Roman" w:hAnsi="宋体" w:eastAsia="仿宋_GB2312"/>
          <w:sz w:val="32"/>
          <w:szCs w:val="28"/>
          <w:lang w:val="en-US" w:eastAsia="zh-CN"/>
        </w:rPr>
        <w:t>5</w:t>
      </w:r>
      <w:r>
        <w:rPr>
          <w:rFonts w:hint="eastAsia" w:ascii="Times New Roman" w:hAnsi="宋体" w:eastAsia="仿宋_GB2312"/>
          <w:sz w:val="32"/>
          <w:szCs w:val="28"/>
        </w:rPr>
        <w:t>分，得分率为100%。</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hAnsi="宋体" w:eastAsia="仿宋_GB2312" w:cstheme="minorBidi"/>
          <w:kern w:val="2"/>
          <w:sz w:val="32"/>
          <w:szCs w:val="28"/>
          <w:lang w:val="en-US" w:eastAsia="zh-CN" w:bidi="ar-SA"/>
        </w:rPr>
      </w:pPr>
      <w:r>
        <w:rPr>
          <w:rFonts w:hint="eastAsia" w:ascii="Times New Roman" w:hAnsi="宋体" w:eastAsia="仿宋_GB2312"/>
          <w:b/>
          <w:bCs/>
          <w:sz w:val="32"/>
          <w:szCs w:val="28"/>
          <w:lang w:val="en-US" w:eastAsia="zh-CN"/>
        </w:rPr>
        <w:t>结案率：</w:t>
      </w:r>
      <w:r>
        <w:rPr>
          <w:rFonts w:hint="eastAsia" w:ascii="Times New Roman" w:hAnsi="宋体" w:eastAsia="仿宋_GB2312"/>
          <w:sz w:val="32"/>
          <w:szCs w:val="28"/>
          <w:highlight w:val="none"/>
          <w:lang w:val="en-US" w:eastAsia="zh-CN"/>
        </w:rPr>
        <w:t>年度指标值=95%，实际完成99.36%。</w:t>
      </w:r>
      <w:r>
        <w:rPr>
          <w:rFonts w:hint="eastAsia" w:ascii="Times New Roman" w:hAnsi="宋体" w:eastAsia="仿宋_GB2312" w:cstheme="minorBidi"/>
          <w:kern w:val="2"/>
          <w:sz w:val="32"/>
          <w:szCs w:val="28"/>
          <w:lang w:val="en-US" w:eastAsia="zh-CN" w:bidi="ar-SA"/>
        </w:rPr>
        <w:t>该指标分值5分，自评得分为5分，得分率为100%。</w:t>
      </w:r>
    </w:p>
    <w:p>
      <w:pPr>
        <w:pStyle w:val="9"/>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Calibri" w:eastAsia="仿宋_GB2312" w:cs="Calibri"/>
          <w:b/>
          <w:bCs/>
          <w:kern w:val="2"/>
          <w:sz w:val="32"/>
          <w:szCs w:val="28"/>
          <w:lang w:val="en-US" w:eastAsia="zh-CN" w:bidi="ar-SA"/>
        </w:rPr>
      </w:pPr>
      <w:r>
        <w:rPr>
          <w:rFonts w:hint="eastAsia" w:ascii="Times New Roman" w:hAnsi="Calibri" w:eastAsia="仿宋_GB2312" w:cs="Calibri"/>
          <w:b/>
          <w:bCs/>
          <w:kern w:val="2"/>
          <w:sz w:val="32"/>
          <w:szCs w:val="28"/>
          <w:lang w:val="en-US" w:eastAsia="zh-CN" w:bidi="ar-SA"/>
        </w:rPr>
        <w:t>③时效指标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lang w:val="en-US" w:eastAsia="zh-CN"/>
        </w:rPr>
      </w:pPr>
      <w:r>
        <w:rPr>
          <w:rFonts w:hint="eastAsia" w:ascii="Times New Roman" w:eastAsia="仿宋_GB2312"/>
          <w:sz w:val="32"/>
          <w:lang w:eastAsia="zh-CN"/>
        </w:rPr>
        <w:t>时效</w:t>
      </w:r>
      <w:r>
        <w:rPr>
          <w:rFonts w:hint="eastAsia" w:ascii="Times New Roman" w:eastAsia="仿宋_GB2312"/>
          <w:sz w:val="32"/>
        </w:rPr>
        <w:t>指标下设</w:t>
      </w:r>
      <w:r>
        <w:rPr>
          <w:rFonts w:hint="eastAsia" w:ascii="Times New Roman" w:eastAsia="仿宋_GB2312"/>
          <w:sz w:val="32"/>
          <w:lang w:val="en-US" w:eastAsia="zh-CN"/>
        </w:rPr>
        <w:t>3</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分值15</w:t>
      </w:r>
      <w:r>
        <w:rPr>
          <w:rFonts w:hint="eastAsia" w:ascii="Times New Roman" w:hAnsi="宋体" w:eastAsia="仿宋_GB2312"/>
          <w:sz w:val="32"/>
          <w:szCs w:val="28"/>
        </w:rPr>
        <w:t>分，自评得</w:t>
      </w:r>
      <w:r>
        <w:rPr>
          <w:rFonts w:hint="eastAsia" w:ascii="Times New Roman" w:hAnsi="宋体" w:eastAsia="仿宋_GB2312"/>
          <w:sz w:val="32"/>
          <w:szCs w:val="28"/>
          <w:highlight w:val="none"/>
        </w:rPr>
        <w:t>分</w:t>
      </w:r>
      <w:r>
        <w:rPr>
          <w:rFonts w:hint="eastAsia" w:ascii="Times New Roman" w:hAnsi="宋体" w:eastAsia="仿宋_GB2312"/>
          <w:sz w:val="32"/>
          <w:szCs w:val="28"/>
          <w:highlight w:val="none"/>
          <w:lang w:val="en-US" w:eastAsia="zh-CN"/>
        </w:rPr>
        <w:t>15</w:t>
      </w:r>
      <w:r>
        <w:rPr>
          <w:rFonts w:hint="eastAsia" w:ascii="Times New Roman" w:hAnsi="宋体" w:eastAsia="仿宋_GB2312"/>
          <w:sz w:val="32"/>
          <w:szCs w:val="28"/>
        </w:rPr>
        <w:t>分，得分率</w:t>
      </w:r>
      <w:r>
        <w:rPr>
          <w:rFonts w:hint="eastAsia" w:ascii="Times New Roman" w:hAnsi="宋体" w:eastAsia="仿宋_GB2312"/>
          <w:sz w:val="32"/>
          <w:szCs w:val="28"/>
          <w:highlight w:val="none"/>
        </w:rPr>
        <w:t>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cstheme="minorBidi"/>
          <w:b w:val="0"/>
          <w:bCs w:val="0"/>
          <w:kern w:val="2"/>
          <w:sz w:val="32"/>
          <w:szCs w:val="28"/>
          <w:highlight w:val="none"/>
          <w:lang w:val="en-US" w:eastAsia="zh-CN" w:bidi="ar-SA"/>
        </w:rPr>
      </w:pPr>
      <w:r>
        <w:rPr>
          <w:rFonts w:hint="eastAsia" w:ascii="Times New Roman" w:hAnsi="宋体" w:eastAsia="仿宋_GB2312"/>
          <w:b/>
          <w:bCs/>
          <w:sz w:val="32"/>
          <w:szCs w:val="28"/>
          <w:highlight w:val="none"/>
          <w:lang w:val="en-US" w:eastAsia="zh-CN"/>
        </w:rPr>
        <w:t>案件法定期间办结率：</w:t>
      </w:r>
      <w:r>
        <w:rPr>
          <w:rFonts w:hint="eastAsia" w:ascii="Times New Roman" w:eastAsia="仿宋_GB2312"/>
          <w:sz w:val="32"/>
          <w:highlight w:val="none"/>
          <w:lang w:val="en-US" w:eastAsia="zh-CN"/>
        </w:rPr>
        <w:t>本年度我院所有案件均在法定期间办结，未超时，达到预期目标，</w:t>
      </w:r>
      <w:r>
        <w:rPr>
          <w:rFonts w:hint="eastAsia" w:ascii="Times New Roman" w:hAnsi="宋体" w:eastAsia="仿宋_GB2312" w:cstheme="minorBidi"/>
          <w:b w:val="0"/>
          <w:bCs w:val="0"/>
          <w:kern w:val="2"/>
          <w:sz w:val="32"/>
          <w:szCs w:val="28"/>
          <w:highlight w:val="none"/>
          <w:lang w:val="en-US" w:eastAsia="zh-CN" w:bidi="ar-SA"/>
        </w:rPr>
        <w:t>该指标分值5分，自评得分为5分，得分率为100%。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cstheme="minorBidi"/>
          <w:b w:val="0"/>
          <w:bCs w:val="0"/>
          <w:kern w:val="2"/>
          <w:sz w:val="32"/>
          <w:szCs w:val="28"/>
          <w:highlight w:val="none"/>
          <w:lang w:val="en-US" w:eastAsia="zh-CN" w:bidi="ar-SA"/>
        </w:rPr>
      </w:pPr>
      <w:r>
        <w:rPr>
          <w:rFonts w:hint="default" w:ascii="Times New Roman" w:hAnsi="宋体" w:eastAsia="仿宋_GB2312"/>
          <w:b/>
          <w:bCs/>
          <w:sz w:val="32"/>
          <w:szCs w:val="28"/>
          <w:lang w:val="en-US" w:eastAsia="zh-CN"/>
        </w:rPr>
        <w:t>法律判决有效性</w:t>
      </w:r>
      <w:r>
        <w:rPr>
          <w:rFonts w:hint="eastAsia" w:ascii="Times New Roman" w:hAnsi="宋体" w:eastAsia="仿宋_GB2312"/>
          <w:b/>
          <w:bCs/>
          <w:sz w:val="32"/>
          <w:szCs w:val="28"/>
          <w:lang w:val="en-US" w:eastAsia="zh-CN"/>
        </w:rPr>
        <w:t>：</w:t>
      </w:r>
      <w:r>
        <w:rPr>
          <w:rFonts w:hint="eastAsia" w:ascii="Times New Roman" w:hAnsi="宋体" w:eastAsia="仿宋_GB2312"/>
          <w:b w:val="0"/>
          <w:bCs w:val="0"/>
          <w:sz w:val="32"/>
          <w:szCs w:val="28"/>
          <w:lang w:val="en-US" w:eastAsia="zh-CN"/>
        </w:rPr>
        <w:t>本年度我院所有法律判决均有效，达到年度指标值</w:t>
      </w:r>
      <w:r>
        <w:rPr>
          <w:rFonts w:hint="eastAsia" w:ascii="Times New Roman" w:hAnsi="宋体" w:eastAsia="仿宋_GB2312"/>
          <w:b w:val="0"/>
          <w:bCs w:val="0"/>
          <w:sz w:val="32"/>
          <w:szCs w:val="28"/>
        </w:rPr>
        <w:t>。</w:t>
      </w:r>
      <w:r>
        <w:rPr>
          <w:rFonts w:hint="eastAsia" w:ascii="Times New Roman" w:hAnsi="宋体" w:eastAsia="仿宋_GB2312" w:cstheme="minorBidi"/>
          <w:b w:val="0"/>
          <w:bCs w:val="0"/>
          <w:kern w:val="2"/>
          <w:sz w:val="32"/>
          <w:szCs w:val="28"/>
          <w:highlight w:val="none"/>
          <w:lang w:val="en-US" w:eastAsia="zh-CN" w:bidi="ar-SA"/>
        </w:rPr>
        <w:t>该指标分值5分，自评得分为5分，得分率为100%。</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outlineLvl w:val="9"/>
        <w:rPr>
          <w:rFonts w:hint="default" w:ascii="Times New Roman" w:hAnsi="宋体" w:eastAsia="仿宋_GB2312"/>
          <w:b w:val="0"/>
          <w:bCs w:val="0"/>
          <w:sz w:val="32"/>
          <w:szCs w:val="28"/>
          <w:lang w:val="en-US" w:eastAsia="zh-CN"/>
        </w:rPr>
      </w:pPr>
      <w:r>
        <w:rPr>
          <w:rFonts w:hint="eastAsia" w:ascii="Times New Roman" w:eastAsia="仿宋_GB2312"/>
          <w:b/>
          <w:bCs/>
          <w:sz w:val="32"/>
          <w:lang w:val="en-US" w:eastAsia="zh-CN"/>
        </w:rPr>
        <w:t>宣传、培训开展及时性：</w:t>
      </w:r>
      <w:r>
        <w:rPr>
          <w:rFonts w:hint="eastAsia" w:ascii="Times New Roman" w:eastAsia="仿宋_GB2312"/>
          <w:b w:val="0"/>
          <w:bCs w:val="0"/>
          <w:sz w:val="32"/>
          <w:lang w:val="en-US" w:eastAsia="zh-CN"/>
        </w:rPr>
        <w:t>本年度我院所有宣传、培训均及时开展，达到年度指标值。该指标分值5分，自评得分5分，得分率为100%</w:t>
      </w:r>
    </w:p>
    <w:p>
      <w:pPr>
        <w:pStyle w:val="9"/>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Calibri" w:eastAsia="仿宋_GB2312" w:cs="Calibri"/>
          <w:b/>
          <w:bCs/>
          <w:kern w:val="2"/>
          <w:sz w:val="32"/>
          <w:szCs w:val="28"/>
          <w:lang w:val="en-US" w:eastAsia="zh-CN" w:bidi="ar-SA"/>
        </w:rPr>
      </w:pPr>
      <w:r>
        <w:rPr>
          <w:rFonts w:hint="eastAsia" w:ascii="Times New Roman" w:hAnsi="Calibri" w:eastAsia="仿宋_GB2312" w:cs="Calibri"/>
          <w:b/>
          <w:bCs/>
          <w:kern w:val="2"/>
          <w:sz w:val="32"/>
          <w:szCs w:val="28"/>
          <w:lang w:val="en-US" w:eastAsia="zh-CN" w:bidi="ar-SA"/>
        </w:rPr>
        <w:t>④成本指标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highlight w:val="none"/>
          <w:lang w:val="en-US" w:eastAsia="zh-CN"/>
        </w:rPr>
      </w:pPr>
      <w:r>
        <w:rPr>
          <w:rFonts w:hint="eastAsia" w:ascii="Times New Roman" w:eastAsia="仿宋_GB2312"/>
          <w:sz w:val="32"/>
          <w:lang w:eastAsia="zh-CN"/>
        </w:rPr>
        <w:t>成本</w:t>
      </w:r>
      <w:r>
        <w:rPr>
          <w:rFonts w:hint="eastAsia" w:ascii="Times New Roman" w:eastAsia="仿宋_GB2312"/>
          <w:sz w:val="32"/>
        </w:rPr>
        <w:t>指标下设</w:t>
      </w:r>
      <w:r>
        <w:rPr>
          <w:rFonts w:hint="eastAsia" w:ascii="Times New Roman" w:eastAsia="仿宋_GB2312"/>
          <w:sz w:val="32"/>
          <w:lang w:val="en-US" w:eastAsia="zh-CN"/>
        </w:rPr>
        <w:t>1</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分值8</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val="en-US" w:eastAsia="zh-CN"/>
        </w:rPr>
        <w:t>8</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宋体" w:eastAsia="仿宋_GB2312" w:cstheme="minorBidi"/>
          <w:b w:val="0"/>
          <w:bCs w:val="0"/>
          <w:kern w:val="2"/>
          <w:sz w:val="32"/>
          <w:szCs w:val="28"/>
          <w:lang w:val="en-US" w:eastAsia="zh-CN" w:bidi="ar-SA"/>
        </w:rPr>
      </w:pPr>
      <w:r>
        <w:rPr>
          <w:rFonts w:hint="eastAsia" w:ascii="Times New Roman" w:hAnsi="宋体" w:eastAsia="仿宋_GB2312" w:cstheme="minorBidi"/>
          <w:b/>
          <w:bCs/>
          <w:kern w:val="2"/>
          <w:sz w:val="32"/>
          <w:szCs w:val="28"/>
          <w:lang w:val="en-US" w:eastAsia="zh-CN" w:bidi="ar-SA"/>
        </w:rPr>
        <w:t>购买商品成本控制：</w:t>
      </w:r>
      <w:r>
        <w:rPr>
          <w:rFonts w:hint="eastAsia" w:ascii="Times New Roman" w:hAnsi="宋体" w:eastAsia="仿宋_GB2312" w:cstheme="minorBidi"/>
          <w:b w:val="0"/>
          <w:bCs w:val="0"/>
          <w:kern w:val="2"/>
          <w:sz w:val="32"/>
          <w:szCs w:val="28"/>
          <w:lang w:val="en-US" w:eastAsia="zh-CN" w:bidi="ar-SA"/>
        </w:rPr>
        <w:t>本年度我院所有购买商品成本均控制在预算范围内。符合年度指标值的要求。该指标分值5分，自评得分5分，得分率为100%</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hAnsi="宋体" w:eastAsia="仿宋_GB2312" w:cstheme="minorBidi"/>
          <w:kern w:val="2"/>
          <w:sz w:val="32"/>
          <w:szCs w:val="28"/>
          <w:highlight w:val="none"/>
          <w:lang w:val="en-US" w:eastAsia="zh-CN" w:bidi="ar-SA"/>
        </w:rPr>
      </w:pPr>
      <w:r>
        <w:rPr>
          <w:rFonts w:hint="eastAsia" w:ascii="Times New Roman" w:hAnsi="宋体" w:eastAsia="仿宋_GB2312" w:cs="宋体"/>
          <w:b/>
          <w:bCs/>
          <w:kern w:val="0"/>
          <w:sz w:val="32"/>
          <w:szCs w:val="28"/>
          <w:highlight w:val="none"/>
          <w:lang w:val="en-US" w:eastAsia="zh-CN"/>
        </w:rPr>
        <w:t>年度预算控制率：</w:t>
      </w:r>
      <w:r>
        <w:rPr>
          <w:rFonts w:hint="eastAsia" w:ascii="Times New Roman" w:hAnsi="宋体" w:eastAsia="仿宋_GB2312" w:cs="宋体"/>
          <w:kern w:val="0"/>
          <w:sz w:val="32"/>
          <w:szCs w:val="28"/>
          <w:highlight w:val="none"/>
          <w:lang w:val="en-US" w:eastAsia="zh-CN"/>
        </w:rPr>
        <w:t>我</w:t>
      </w:r>
      <w:r>
        <w:rPr>
          <w:rFonts w:hint="eastAsia" w:ascii="Times New Roman" w:hAnsi="宋体" w:eastAsia="仿宋_GB2312" w:cs="宋体"/>
          <w:kern w:val="0"/>
          <w:sz w:val="32"/>
          <w:szCs w:val="28"/>
          <w:highlight w:val="none"/>
          <w:lang w:eastAsia="zh-CN"/>
        </w:rPr>
        <w:t>院法</w:t>
      </w:r>
      <w:r>
        <w:rPr>
          <w:rFonts w:hint="eastAsia" w:ascii="Times New Roman" w:hAnsi="宋体" w:eastAsia="仿宋_GB2312" w:cs="宋体"/>
          <w:kern w:val="0"/>
          <w:sz w:val="32"/>
          <w:szCs w:val="28"/>
        </w:rPr>
        <w:t>庭运维费全年预算数</w:t>
      </w:r>
      <w:r>
        <w:rPr>
          <w:rFonts w:hint="eastAsia" w:ascii="Times New Roman" w:hAnsi="宋体" w:eastAsia="仿宋_GB2312" w:cs="宋体"/>
          <w:kern w:val="0"/>
          <w:sz w:val="32"/>
          <w:szCs w:val="28"/>
          <w:lang w:eastAsia="zh-CN"/>
        </w:rPr>
        <w:t>和</w:t>
      </w:r>
      <w:r>
        <w:rPr>
          <w:rFonts w:hint="eastAsia" w:ascii="Times New Roman" w:hAnsi="宋体" w:eastAsia="仿宋_GB2312" w:cs="宋体"/>
          <w:kern w:val="0"/>
          <w:sz w:val="32"/>
          <w:szCs w:val="28"/>
        </w:rPr>
        <w:t>实际支出数</w:t>
      </w:r>
      <w:r>
        <w:rPr>
          <w:rFonts w:hint="eastAsia" w:ascii="Times New Roman" w:hAnsi="宋体" w:eastAsia="仿宋_GB2312" w:cs="宋体"/>
          <w:kern w:val="0"/>
          <w:sz w:val="32"/>
          <w:szCs w:val="28"/>
          <w:lang w:eastAsia="zh-CN"/>
        </w:rPr>
        <w:t>均</w:t>
      </w:r>
      <w:r>
        <w:rPr>
          <w:rFonts w:hint="eastAsia" w:ascii="Times New Roman" w:hAnsi="宋体" w:eastAsia="仿宋_GB2312" w:cs="宋体"/>
          <w:kern w:val="0"/>
          <w:sz w:val="32"/>
          <w:szCs w:val="28"/>
        </w:rPr>
        <w:t>为</w:t>
      </w:r>
      <w:r>
        <w:rPr>
          <w:rFonts w:hint="eastAsia" w:ascii="Times New Roman" w:hAnsi="宋体" w:eastAsia="仿宋_GB2312" w:cs="宋体"/>
          <w:kern w:val="0"/>
          <w:sz w:val="32"/>
          <w:szCs w:val="28"/>
          <w:lang w:val="en-US" w:eastAsia="zh-CN"/>
        </w:rPr>
        <w:t>3</w:t>
      </w:r>
      <w:r>
        <w:rPr>
          <w:rFonts w:hint="eastAsia" w:ascii="Times New Roman" w:hAnsi="宋体" w:cs="宋体"/>
          <w:kern w:val="0"/>
          <w:sz w:val="32"/>
          <w:szCs w:val="28"/>
          <w:lang w:val="en-US" w:eastAsia="zh-CN"/>
        </w:rPr>
        <w:t>2.00</w:t>
      </w:r>
      <w:r>
        <w:rPr>
          <w:rFonts w:hint="eastAsia" w:ascii="Times New Roman" w:hAnsi="宋体" w:eastAsia="仿宋_GB2312" w:cs="宋体"/>
          <w:kern w:val="0"/>
          <w:sz w:val="32"/>
          <w:szCs w:val="28"/>
        </w:rPr>
        <w:t>万元</w:t>
      </w:r>
      <w:r>
        <w:rPr>
          <w:rFonts w:hint="eastAsia" w:ascii="Times New Roman" w:hAnsi="宋体" w:eastAsia="仿宋_GB2312" w:cs="宋体"/>
          <w:kern w:val="0"/>
          <w:sz w:val="32"/>
          <w:szCs w:val="28"/>
          <w:highlight w:val="none"/>
        </w:rPr>
        <w:t>，</w:t>
      </w:r>
      <w:r>
        <w:rPr>
          <w:rFonts w:hint="eastAsia" w:ascii="Times New Roman" w:hAnsi="宋体" w:eastAsia="仿宋_GB2312" w:cs="宋体"/>
          <w:kern w:val="0"/>
          <w:sz w:val="32"/>
          <w:szCs w:val="28"/>
          <w:highlight w:val="none"/>
          <w:lang w:eastAsia="zh-CN"/>
        </w:rPr>
        <w:t>成本控制在</w:t>
      </w:r>
      <w:r>
        <w:rPr>
          <w:rFonts w:hint="eastAsia" w:ascii="Times New Roman" w:hAnsi="宋体" w:eastAsia="仿宋_GB2312" w:cs="宋体"/>
          <w:kern w:val="0"/>
          <w:sz w:val="32"/>
          <w:szCs w:val="28"/>
          <w:highlight w:val="none"/>
        </w:rPr>
        <w:t>全年预算数</w:t>
      </w:r>
      <w:r>
        <w:rPr>
          <w:rFonts w:hint="eastAsia" w:ascii="Times New Roman" w:hAnsi="宋体" w:eastAsia="仿宋_GB2312" w:cs="宋体"/>
          <w:kern w:val="0"/>
          <w:sz w:val="32"/>
          <w:szCs w:val="28"/>
          <w:highlight w:val="none"/>
          <w:lang w:eastAsia="zh-CN"/>
        </w:rPr>
        <w:t>以内</w:t>
      </w:r>
      <w:r>
        <w:rPr>
          <w:rFonts w:hint="eastAsia" w:ascii="Times New Roman" w:hAnsi="宋体" w:eastAsia="仿宋_GB2312" w:cs="宋体"/>
          <w:kern w:val="0"/>
          <w:sz w:val="32"/>
          <w:szCs w:val="28"/>
          <w:highlight w:val="none"/>
        </w:rPr>
        <w:t>，</w:t>
      </w:r>
      <w:r>
        <w:rPr>
          <w:rFonts w:hint="eastAsia" w:ascii="Times New Roman" w:hAnsi="宋体" w:eastAsia="仿宋_GB2312" w:cs="宋体"/>
          <w:kern w:val="0"/>
          <w:sz w:val="32"/>
          <w:szCs w:val="28"/>
        </w:rPr>
        <w:t>符合年度指标值的要求。</w:t>
      </w:r>
      <w:r>
        <w:rPr>
          <w:rFonts w:hint="eastAsia" w:ascii="Times New Roman" w:hAnsi="宋体" w:eastAsia="仿宋_GB2312" w:cstheme="minorBidi"/>
          <w:kern w:val="2"/>
          <w:sz w:val="32"/>
          <w:szCs w:val="28"/>
          <w:highlight w:val="none"/>
          <w:lang w:val="en-US" w:eastAsia="zh-CN" w:bidi="ar-SA"/>
        </w:rPr>
        <w:t>该指标分值5分，自评得分为5分，得分率为100%。</w:t>
      </w:r>
    </w:p>
    <w:p>
      <w:pPr>
        <w:pStyle w:val="26"/>
        <w:pageBreakBefore w:val="0"/>
        <w:kinsoku/>
        <w:wordWrap/>
        <w:overflowPunct w:val="0"/>
        <w:topLinePunct w:val="0"/>
        <w:bidi w:val="0"/>
        <w:snapToGrid/>
        <w:spacing w:beforeAutospacing="0" w:afterAutospacing="0" w:line="560" w:lineRule="exact"/>
        <w:ind w:left="0" w:leftChars="0" w:firstLine="643" w:firstLineChars="200"/>
        <w:rPr>
          <w:rFonts w:hint="default" w:ascii="Times New Roman" w:eastAsia="仿宋_GB2312"/>
          <w:b w:val="0"/>
          <w:bCs w:val="0"/>
          <w:sz w:val="32"/>
          <w:lang w:val="en-US" w:eastAsia="zh-CN"/>
        </w:rPr>
      </w:pPr>
      <w:r>
        <w:rPr>
          <w:rFonts w:hint="eastAsia" w:ascii="Times New Roman" w:hAnsi="宋体" w:eastAsia="仿宋_GB2312" w:cs="宋体"/>
          <w:b/>
          <w:bCs/>
          <w:kern w:val="0"/>
          <w:sz w:val="32"/>
          <w:szCs w:val="28"/>
          <w:highlight w:val="none"/>
          <w:lang w:val="en-US" w:eastAsia="zh-CN" w:bidi="ar-SA"/>
        </w:rPr>
        <w:t>维修材料成本控制率：</w:t>
      </w:r>
      <w:r>
        <w:rPr>
          <w:rFonts w:hint="eastAsia" w:ascii="Times New Roman" w:hAnsi="宋体" w:eastAsia="仿宋_GB2312" w:cs="宋体"/>
          <w:b w:val="0"/>
          <w:bCs w:val="0"/>
          <w:kern w:val="0"/>
          <w:sz w:val="32"/>
          <w:szCs w:val="28"/>
          <w:highlight w:val="none"/>
          <w:lang w:val="en-US" w:eastAsia="zh-CN" w:bidi="ar-SA"/>
        </w:rPr>
        <w:t>本年度我院所采购的维修材料成本均未超过预算。成本控制率在100%以内。该指标分值5分，自评得分5分，得分率为100%。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szCs w:val="28"/>
          <w:highlight w:val="none"/>
        </w:rPr>
      </w:pPr>
      <w:r>
        <w:rPr>
          <w:rFonts w:hint="eastAsia" w:ascii="Times New Roman" w:eastAsia="仿宋_GB2312"/>
          <w:b/>
          <w:bCs/>
          <w:sz w:val="32"/>
          <w:szCs w:val="28"/>
          <w:highlight w:val="none"/>
        </w:rPr>
        <w:t>（2）效益指标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szCs w:val="28"/>
          <w:highlight w:val="none"/>
        </w:rPr>
      </w:pPr>
      <w:r>
        <w:rPr>
          <w:rFonts w:hint="eastAsia" w:ascii="Times New Roman" w:eastAsia="仿宋_GB2312"/>
          <w:sz w:val="32"/>
          <w:szCs w:val="28"/>
          <w:highlight w:val="none"/>
        </w:rPr>
        <w:t>本项目效益指标主要考虑</w:t>
      </w:r>
      <w:r>
        <w:rPr>
          <w:rFonts w:hint="eastAsia" w:ascii="Times New Roman" w:eastAsia="仿宋_GB2312"/>
          <w:sz w:val="32"/>
          <w:szCs w:val="28"/>
          <w:highlight w:val="none"/>
          <w:lang w:val="en-US" w:eastAsia="zh-CN"/>
        </w:rPr>
        <w:t>经济效益、</w:t>
      </w:r>
      <w:r>
        <w:rPr>
          <w:rFonts w:hint="eastAsia" w:ascii="Times New Roman" w:eastAsia="仿宋_GB2312"/>
          <w:sz w:val="32"/>
          <w:szCs w:val="28"/>
          <w:highlight w:val="none"/>
        </w:rPr>
        <w:t>社会效益和可持续影响</w:t>
      </w:r>
      <w:r>
        <w:rPr>
          <w:rFonts w:hint="eastAsia" w:ascii="Times New Roman" w:eastAsia="仿宋_GB2312"/>
          <w:sz w:val="32"/>
          <w:szCs w:val="28"/>
          <w:highlight w:val="none"/>
          <w:lang w:val="en-US" w:eastAsia="zh-CN"/>
        </w:rPr>
        <w:t>三</w:t>
      </w:r>
      <w:r>
        <w:rPr>
          <w:rFonts w:hint="eastAsia" w:ascii="Times New Roman" w:eastAsia="仿宋_GB2312"/>
          <w:sz w:val="32"/>
          <w:szCs w:val="28"/>
          <w:highlight w:val="none"/>
        </w:rPr>
        <w:t>部分。</w:t>
      </w:r>
      <w:r>
        <w:rPr>
          <w:rFonts w:hint="eastAsia" w:ascii="Times New Roman" w:eastAsia="仿宋_GB2312"/>
          <w:sz w:val="32"/>
          <w:szCs w:val="28"/>
          <w:highlight w:val="none"/>
          <w:lang w:val="en-US" w:eastAsia="zh-CN"/>
        </w:rPr>
        <w:t>指标</w:t>
      </w:r>
      <w:r>
        <w:rPr>
          <w:rFonts w:hint="eastAsia" w:ascii="Times New Roman" w:eastAsia="仿宋_GB2312"/>
          <w:sz w:val="32"/>
          <w:szCs w:val="28"/>
          <w:highlight w:val="none"/>
        </w:rPr>
        <w:t>分值30分，得分30分，得分率</w:t>
      </w:r>
      <w:r>
        <w:rPr>
          <w:rFonts w:hint="eastAsia" w:ascii="Times New Roman"/>
          <w:sz w:val="32"/>
          <w:szCs w:val="28"/>
          <w:highlight w:val="none"/>
          <w:lang w:val="en-US" w:eastAsia="zh-CN"/>
        </w:rPr>
        <w:t>为</w:t>
      </w:r>
      <w:r>
        <w:rPr>
          <w:rFonts w:hint="eastAsia" w:ascii="Times New Roman" w:eastAsia="仿宋_GB2312"/>
          <w:sz w:val="32"/>
          <w:szCs w:val="28"/>
          <w:highlight w:val="none"/>
        </w:rPr>
        <w:t>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bCs/>
          <w:sz w:val="32"/>
          <w:szCs w:val="28"/>
          <w:lang w:val="en-US" w:eastAsia="zh-CN"/>
        </w:rPr>
      </w:pPr>
      <w:r>
        <w:rPr>
          <w:rFonts w:hint="eastAsia" w:ascii="Times New Roman" w:eastAsia="仿宋_GB2312"/>
          <w:b/>
          <w:bCs/>
          <w:sz w:val="32"/>
          <w:szCs w:val="28"/>
        </w:rPr>
        <w:t>①</w:t>
      </w:r>
      <w:r>
        <w:rPr>
          <w:rFonts w:hint="eastAsia" w:ascii="Times New Roman" w:eastAsia="仿宋_GB2312"/>
          <w:b/>
          <w:bCs/>
          <w:sz w:val="32"/>
          <w:szCs w:val="28"/>
          <w:lang w:val="en-US" w:eastAsia="zh-CN"/>
        </w:rPr>
        <w:t>经济效益指标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szCs w:val="28"/>
          <w:highlight w:val="none"/>
          <w:lang w:val="en-US" w:eastAsia="zh-CN"/>
        </w:rPr>
      </w:pPr>
      <w:r>
        <w:rPr>
          <w:rFonts w:hint="eastAsia" w:ascii="Times New Roman" w:eastAsia="仿宋_GB2312"/>
          <w:sz w:val="32"/>
          <w:szCs w:val="28"/>
          <w:highlight w:val="none"/>
          <w:lang w:val="en-US" w:eastAsia="zh-CN"/>
        </w:rPr>
        <w:t>经济效益指标下设2个三级指标，指标分值10分，自评得分10分，得分率为100%。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cs="宋体"/>
          <w:b w:val="0"/>
          <w:bCs w:val="0"/>
          <w:kern w:val="0"/>
          <w:sz w:val="32"/>
          <w:szCs w:val="28"/>
          <w:highlight w:val="none"/>
        </w:rPr>
      </w:pPr>
      <w:r>
        <w:rPr>
          <w:rFonts w:hint="eastAsia" w:ascii="Times New Roman" w:eastAsia="仿宋_GB2312"/>
          <w:b/>
          <w:bCs/>
          <w:sz w:val="32"/>
          <w:lang w:val="en-US" w:eastAsia="zh-CN"/>
        </w:rPr>
        <w:t>财务审核规范性：</w:t>
      </w:r>
      <w:r>
        <w:rPr>
          <w:rFonts w:hint="eastAsia" w:ascii="Times New Roman" w:eastAsia="仿宋_GB2312"/>
          <w:sz w:val="32"/>
          <w:lang w:val="en-US" w:eastAsia="zh-CN"/>
        </w:rPr>
        <w:t>2022年度我院根据《会计法》《预算法》《政府会计制度》等法律、行政法规和部门规章，严格按照政府会计制度执行财务会计核算和预算会计核算，管理好财政预算资金，我院资金支出总体上审批程序合规、手续齐全，支出内容符合财政预算批复规定的用途。达到了既定目标值。</w:t>
      </w:r>
      <w:r>
        <w:rPr>
          <w:rFonts w:hint="eastAsia" w:ascii="Times New Roman" w:hAnsi="宋体" w:eastAsia="仿宋_GB2312" w:cs="宋体"/>
          <w:b w:val="0"/>
          <w:bCs w:val="0"/>
          <w:kern w:val="0"/>
          <w:sz w:val="32"/>
          <w:szCs w:val="28"/>
          <w:highlight w:val="none"/>
        </w:rPr>
        <w:t>该指标分值</w:t>
      </w:r>
      <w:r>
        <w:rPr>
          <w:rFonts w:hint="eastAsia" w:ascii="Times New Roman" w:hAnsi="宋体" w:eastAsia="仿宋_GB2312" w:cs="宋体"/>
          <w:b w:val="0"/>
          <w:bCs w:val="0"/>
          <w:kern w:val="0"/>
          <w:sz w:val="32"/>
          <w:szCs w:val="28"/>
          <w:highlight w:val="none"/>
          <w:lang w:val="en-US" w:eastAsia="zh-CN"/>
        </w:rPr>
        <w:t>5</w:t>
      </w:r>
      <w:r>
        <w:rPr>
          <w:rFonts w:hint="eastAsia" w:ascii="Times New Roman" w:hAnsi="宋体" w:eastAsia="仿宋_GB2312" w:cs="宋体"/>
          <w:b w:val="0"/>
          <w:bCs w:val="0"/>
          <w:kern w:val="0"/>
          <w:sz w:val="32"/>
          <w:szCs w:val="28"/>
          <w:highlight w:val="none"/>
        </w:rPr>
        <w:t>分，自评得分为</w:t>
      </w:r>
      <w:r>
        <w:rPr>
          <w:rFonts w:hint="eastAsia" w:ascii="Times New Roman" w:hAnsi="宋体" w:eastAsia="仿宋_GB2312" w:cs="宋体"/>
          <w:b w:val="0"/>
          <w:bCs w:val="0"/>
          <w:kern w:val="0"/>
          <w:sz w:val="32"/>
          <w:szCs w:val="28"/>
          <w:highlight w:val="none"/>
          <w:lang w:val="en-US" w:eastAsia="zh-CN"/>
        </w:rPr>
        <w:t>5</w:t>
      </w:r>
      <w:r>
        <w:rPr>
          <w:rFonts w:hint="eastAsia" w:ascii="Times New Roman" w:hAnsi="宋体" w:eastAsia="仿宋_GB2312" w:cs="宋体"/>
          <w:b w:val="0"/>
          <w:bCs w:val="0"/>
          <w:kern w:val="0"/>
          <w:sz w:val="32"/>
          <w:szCs w:val="28"/>
          <w:highlight w:val="none"/>
        </w:rPr>
        <w:t>分，得分率为</w:t>
      </w:r>
      <w:r>
        <w:rPr>
          <w:rFonts w:hint="eastAsia" w:ascii="Times New Roman" w:hAnsi="宋体" w:eastAsia="仿宋_GB2312" w:cs="宋体"/>
          <w:b w:val="0"/>
          <w:bCs w:val="0"/>
          <w:kern w:val="0"/>
          <w:sz w:val="32"/>
          <w:szCs w:val="28"/>
          <w:highlight w:val="none"/>
          <w:lang w:val="en-US" w:eastAsia="zh-CN"/>
        </w:rPr>
        <w:t>100</w:t>
      </w:r>
      <w:r>
        <w:rPr>
          <w:rFonts w:hint="eastAsia" w:ascii="Times New Roman" w:hAnsi="宋体" w:eastAsia="仿宋_GB2312" w:cs="宋体"/>
          <w:b w:val="0"/>
          <w:bCs w:val="0"/>
          <w:kern w:val="0"/>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sz w:val="32"/>
          <w:lang w:val="en-US" w:eastAsia="zh-CN"/>
        </w:rPr>
      </w:pPr>
      <w:r>
        <w:rPr>
          <w:rFonts w:hint="eastAsia" w:ascii="Times New Roman" w:eastAsia="仿宋_GB2312"/>
          <w:b/>
          <w:bCs/>
          <w:sz w:val="32"/>
          <w:lang w:val="en-US" w:eastAsia="zh-CN"/>
        </w:rPr>
        <w:t>资金使用规范性</w:t>
      </w:r>
      <w:r>
        <w:rPr>
          <w:rFonts w:hint="eastAsia" w:ascii="Times New Roman"/>
          <w:b/>
          <w:bCs/>
          <w:sz w:val="32"/>
          <w:lang w:val="en-US" w:eastAsia="zh-CN"/>
        </w:rPr>
        <w:t>：</w:t>
      </w:r>
      <w:r>
        <w:rPr>
          <w:rFonts w:hint="eastAsia" w:ascii="Times New Roman" w:eastAsia="仿宋_GB2312"/>
          <w:sz w:val="32"/>
        </w:rPr>
        <w:t>符合国家财经法规和财务管理制度以及有关专项资金管理办法的规定，不存在截留、挤占、挪用、虚列支出等情况。该指标分值</w:t>
      </w:r>
      <w:r>
        <w:rPr>
          <w:rFonts w:hint="eastAsia" w:ascii="Times New Roman" w:eastAsia="仿宋_GB2312"/>
          <w:sz w:val="32"/>
          <w:lang w:val="en-US" w:eastAsia="zh-CN"/>
        </w:rPr>
        <w:t>5</w:t>
      </w:r>
      <w:r>
        <w:rPr>
          <w:rFonts w:hint="eastAsia" w:ascii="Times New Roman" w:eastAsia="仿宋_GB2312"/>
          <w:sz w:val="32"/>
        </w:rPr>
        <w:t>分，自评得分为</w:t>
      </w:r>
      <w:r>
        <w:rPr>
          <w:rFonts w:hint="eastAsia" w:ascii="Times New Roman" w:eastAsia="仿宋_GB2312"/>
          <w:sz w:val="32"/>
          <w:lang w:val="en-US" w:eastAsia="zh-CN"/>
        </w:rPr>
        <w:t>5</w:t>
      </w:r>
      <w:r>
        <w:rPr>
          <w:rFonts w:hint="eastAsia" w:ascii="Times New Roman" w:eastAsia="仿宋_GB2312"/>
          <w:sz w:val="32"/>
        </w:rPr>
        <w:t>分，得分率为</w:t>
      </w:r>
      <w:r>
        <w:rPr>
          <w:rFonts w:hint="eastAsia" w:ascii="Times New Roman" w:eastAsia="仿宋_GB2312"/>
          <w:sz w:val="32"/>
          <w:lang w:val="en-US" w:eastAsia="zh-CN"/>
        </w:rPr>
        <w:t>100</w:t>
      </w:r>
      <w:r>
        <w:rPr>
          <w:rFonts w:hint="eastAsia" w:ascii="Times New Roman" w:eastAsia="仿宋_GB2312"/>
          <w:sz w:val="32"/>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szCs w:val="28"/>
        </w:rPr>
      </w:pPr>
      <w:r>
        <w:rPr>
          <w:rFonts w:hint="eastAsia" w:ascii="Times New Roman" w:eastAsia="仿宋_GB2312"/>
          <w:b/>
          <w:bCs/>
          <w:sz w:val="32"/>
          <w:szCs w:val="28"/>
          <w:lang w:val="en-US" w:eastAsia="zh-CN"/>
        </w:rPr>
        <w:t>②</w:t>
      </w:r>
      <w:r>
        <w:rPr>
          <w:rFonts w:hint="eastAsia" w:ascii="Times New Roman" w:eastAsia="仿宋_GB2312"/>
          <w:b/>
          <w:bCs/>
          <w:sz w:val="32"/>
          <w:szCs w:val="28"/>
        </w:rPr>
        <w:t>社会效益指标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hAnsi="宋体" w:eastAsia="仿宋_GB2312"/>
          <w:sz w:val="32"/>
          <w:szCs w:val="28"/>
        </w:rPr>
      </w:pPr>
      <w:r>
        <w:rPr>
          <w:rFonts w:hint="eastAsia" w:ascii="Times New Roman" w:eastAsia="仿宋_GB2312"/>
          <w:sz w:val="32"/>
        </w:rPr>
        <w:t>社会效益指标下设</w:t>
      </w:r>
      <w:r>
        <w:rPr>
          <w:rFonts w:hint="eastAsia" w:ascii="Times New Roman" w:eastAsia="仿宋_GB2312"/>
          <w:sz w:val="32"/>
          <w:lang w:val="en-US" w:eastAsia="zh-CN"/>
        </w:rPr>
        <w:t>2</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w:t>
      </w:r>
      <w:r>
        <w:rPr>
          <w:rFonts w:hint="eastAsia" w:ascii="Times New Roman" w:hAnsi="宋体" w:eastAsia="仿宋_GB2312"/>
          <w:sz w:val="32"/>
          <w:szCs w:val="28"/>
        </w:rPr>
        <w:t>1</w:t>
      </w:r>
      <w:r>
        <w:rPr>
          <w:rFonts w:hint="eastAsia" w:ascii="Times New Roman" w:hAnsi="宋体" w:eastAsia="仿宋_GB2312"/>
          <w:sz w:val="32"/>
          <w:szCs w:val="28"/>
          <w:lang w:val="en-US" w:eastAsia="zh-CN"/>
        </w:rPr>
        <w:t>0</w:t>
      </w:r>
      <w:r>
        <w:rPr>
          <w:rFonts w:hint="eastAsia" w:ascii="Times New Roman" w:hAnsi="宋体" w:eastAsia="仿宋_GB2312"/>
          <w:sz w:val="32"/>
          <w:szCs w:val="28"/>
        </w:rPr>
        <w:t>分，自评得分1</w:t>
      </w:r>
      <w:r>
        <w:rPr>
          <w:rFonts w:hint="eastAsia" w:ascii="Times New Roman" w:hAnsi="宋体" w:eastAsia="仿宋_GB2312"/>
          <w:sz w:val="32"/>
          <w:szCs w:val="28"/>
          <w:lang w:val="en-US" w:eastAsia="zh-CN"/>
        </w:rPr>
        <w:t>0</w:t>
      </w:r>
      <w:r>
        <w:rPr>
          <w:rFonts w:hint="eastAsia" w:ascii="Times New Roman" w:hAnsi="宋体" w:eastAsia="仿宋_GB2312"/>
          <w:sz w:val="32"/>
          <w:szCs w:val="28"/>
        </w:rPr>
        <w:t>分，得分率为10</w:t>
      </w:r>
      <w:r>
        <w:rPr>
          <w:rFonts w:ascii="Times New Roman" w:hAnsi="宋体" w:eastAsia="仿宋_GB2312"/>
          <w:sz w:val="32"/>
          <w:szCs w:val="28"/>
        </w:rPr>
        <w:t>0</w:t>
      </w:r>
      <w:r>
        <w:rPr>
          <w:rFonts w:hint="eastAsia" w:ascii="Times New Roman" w:hAnsi="宋体" w:eastAsia="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cstheme="minorBidi"/>
          <w:kern w:val="2"/>
          <w:sz w:val="32"/>
          <w:szCs w:val="28"/>
          <w:highlight w:val="none"/>
          <w:lang w:val="en-US" w:eastAsia="zh-CN" w:bidi="ar-SA"/>
        </w:rPr>
      </w:pPr>
      <w:r>
        <w:rPr>
          <w:rFonts w:hint="eastAsia" w:ascii="Times New Roman" w:eastAsia="仿宋_GB2312"/>
          <w:b/>
          <w:bCs/>
          <w:sz w:val="32"/>
          <w:lang w:val="en-US" w:eastAsia="zh-CN"/>
        </w:rPr>
        <w:t>案件公开透明度</w:t>
      </w:r>
      <w:r>
        <w:rPr>
          <w:rFonts w:hint="eastAsia" w:ascii="Times New Roman"/>
          <w:b/>
          <w:bCs/>
          <w:sz w:val="32"/>
          <w:lang w:val="en-US" w:eastAsia="zh-CN"/>
        </w:rPr>
        <w:t>：</w:t>
      </w:r>
      <w:r>
        <w:rPr>
          <w:rFonts w:hint="eastAsia" w:ascii="Times New Roman" w:eastAsia="仿宋_GB2312"/>
          <w:sz w:val="32"/>
        </w:rPr>
        <w:t>司法透明是现代法治国家普遍遵循的重要法律原则，是司法公正、司法廉洁、司法公信的重要保障。</w:t>
      </w:r>
      <w:r>
        <w:rPr>
          <w:rFonts w:hint="eastAsia" w:ascii="Times New Roman" w:eastAsia="仿宋_GB2312"/>
          <w:sz w:val="32"/>
          <w:lang w:val="en-US" w:eastAsia="zh-CN"/>
        </w:rPr>
        <w:t>我院案件公开透明度年度指标值=100%，实际达到100%。达到年度指标值。</w:t>
      </w:r>
      <w:r>
        <w:rPr>
          <w:rFonts w:hint="eastAsia" w:ascii="Times New Roman" w:hAnsi="宋体" w:eastAsia="仿宋_GB2312" w:cstheme="minorBidi"/>
          <w:kern w:val="2"/>
          <w:sz w:val="32"/>
          <w:szCs w:val="28"/>
          <w:lang w:val="en-US" w:eastAsia="zh-CN" w:bidi="ar-SA"/>
        </w:rPr>
        <w:t>该指标分</w:t>
      </w:r>
      <w:r>
        <w:rPr>
          <w:rFonts w:hint="eastAsia" w:ascii="Times New Roman" w:hAnsi="宋体" w:eastAsia="仿宋_GB2312" w:cstheme="minorBidi"/>
          <w:kern w:val="2"/>
          <w:sz w:val="32"/>
          <w:szCs w:val="28"/>
          <w:highlight w:val="none"/>
          <w:lang w:val="en-US" w:eastAsia="zh-CN" w:bidi="ar-SA"/>
        </w:rPr>
        <w:t>值5分，自评得分为5分，得分率为100%。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cstheme="minorBidi"/>
          <w:kern w:val="2"/>
          <w:sz w:val="32"/>
          <w:szCs w:val="28"/>
          <w:highlight w:val="none"/>
          <w:lang w:val="en-US" w:eastAsia="zh-CN" w:bidi="ar-SA"/>
        </w:rPr>
      </w:pPr>
      <w:r>
        <w:rPr>
          <w:rFonts w:hint="eastAsia" w:ascii="Times New Roman" w:hAnsi="仿宋_GB2312" w:eastAsia="仿宋_GB2312" w:cstheme="minorBidi"/>
          <w:b/>
          <w:bCs/>
          <w:kern w:val="2"/>
          <w:sz w:val="32"/>
          <w:szCs w:val="22"/>
          <w:lang w:val="en-US" w:eastAsia="zh-CN" w:bidi="ar-SA"/>
        </w:rPr>
        <w:t>维护社会和谐稳定：</w:t>
      </w:r>
      <w:r>
        <w:rPr>
          <w:rFonts w:hint="eastAsia" w:ascii="Times New Roman" w:eastAsia="仿宋_GB2312"/>
          <w:b w:val="0"/>
          <w:bCs w:val="0"/>
          <w:sz w:val="32"/>
          <w:lang w:val="en-US" w:eastAsia="zh-CN"/>
        </w:rPr>
        <w:t>我院</w:t>
      </w:r>
      <w:r>
        <w:rPr>
          <w:rFonts w:hint="eastAsia" w:ascii="Times New Roman" w:hAnsi="宋体" w:eastAsia="仿宋_GB2312" w:cstheme="minorBidi"/>
          <w:kern w:val="2"/>
          <w:sz w:val="32"/>
          <w:szCs w:val="28"/>
          <w:highlight w:val="none"/>
          <w:lang w:val="en-US" w:eastAsia="zh-CN" w:bidi="ar-SA"/>
        </w:rPr>
        <w:t>牢固树立国家总体安全观，全力维护全县社会大局稳定。依法惩治各类违法犯罪，常态化开展扫黑除恶斗争，严惩“黄赌毒、盗抢骗”等犯罪，服务平安秦安建设。</w:t>
      </w:r>
      <w:r>
        <w:rPr>
          <w:rFonts w:hint="eastAsia" w:ascii="Times New Roman" w:hAnsi="宋体" w:eastAsia="仿宋_GB2312" w:cstheme="minorBidi"/>
          <w:kern w:val="2"/>
          <w:sz w:val="32"/>
          <w:szCs w:val="28"/>
          <w:lang w:val="en-US" w:eastAsia="zh-CN" w:bidi="ar-SA"/>
        </w:rPr>
        <w:t>该指标分</w:t>
      </w:r>
      <w:r>
        <w:rPr>
          <w:rFonts w:hint="eastAsia" w:ascii="Times New Roman" w:hAnsi="宋体" w:eastAsia="仿宋_GB2312" w:cstheme="minorBidi"/>
          <w:kern w:val="2"/>
          <w:sz w:val="32"/>
          <w:szCs w:val="28"/>
          <w:highlight w:val="none"/>
          <w:lang w:val="en-US" w:eastAsia="zh-CN" w:bidi="ar-SA"/>
        </w:rPr>
        <w:t>值5分，自评得分为5分，得分率为100%。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b/>
          <w:bCs/>
          <w:sz w:val="32"/>
          <w:szCs w:val="28"/>
        </w:rPr>
      </w:pPr>
      <w:r>
        <w:rPr>
          <w:rFonts w:hint="eastAsia" w:ascii="Times New Roman" w:eastAsia="仿宋_GB2312"/>
          <w:b/>
          <w:bCs/>
          <w:sz w:val="32"/>
          <w:szCs w:val="28"/>
          <w:lang w:val="en-US" w:eastAsia="zh-CN"/>
        </w:rPr>
        <w:t>③</w:t>
      </w:r>
      <w:r>
        <w:rPr>
          <w:rFonts w:hint="eastAsia" w:ascii="Times New Roman" w:hAnsi="宋体" w:eastAsia="仿宋_GB2312"/>
          <w:b/>
          <w:bCs/>
          <w:sz w:val="32"/>
          <w:szCs w:val="28"/>
        </w:rPr>
        <w:t>可持续影响指标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hAnsi="宋体" w:eastAsia="仿宋_GB2312"/>
          <w:sz w:val="32"/>
          <w:szCs w:val="28"/>
        </w:rPr>
      </w:pPr>
      <w:r>
        <w:rPr>
          <w:rFonts w:hint="eastAsia" w:ascii="Times New Roman" w:eastAsia="仿宋_GB2312"/>
          <w:sz w:val="32"/>
        </w:rPr>
        <w:t>可持续影响指标下设</w:t>
      </w:r>
      <w:r>
        <w:rPr>
          <w:rFonts w:hint="eastAsia" w:ascii="Times New Roman" w:eastAsia="仿宋_GB2312"/>
          <w:sz w:val="32"/>
          <w:lang w:val="en-US" w:eastAsia="zh-CN"/>
        </w:rPr>
        <w:t>2</w:t>
      </w:r>
      <w:r>
        <w:rPr>
          <w:rFonts w:hint="eastAsia" w:ascii="Times New Roman" w:eastAsia="仿宋_GB2312"/>
          <w:sz w:val="32"/>
        </w:rPr>
        <w:t>个三级指标，</w:t>
      </w:r>
      <w:r>
        <w:rPr>
          <w:rFonts w:hint="eastAsia" w:ascii="Times New Roman" w:hAnsi="宋体" w:eastAsia="仿宋_GB2312"/>
          <w:sz w:val="32"/>
          <w:szCs w:val="28"/>
        </w:rPr>
        <w:t>指标权重合计1</w:t>
      </w:r>
      <w:r>
        <w:rPr>
          <w:rFonts w:hint="eastAsia" w:ascii="Times New Roman" w:hAnsi="宋体" w:eastAsia="仿宋_GB2312"/>
          <w:sz w:val="32"/>
          <w:szCs w:val="28"/>
          <w:lang w:val="en-US" w:eastAsia="zh-CN"/>
        </w:rPr>
        <w:t>0</w:t>
      </w:r>
      <w:r>
        <w:rPr>
          <w:rFonts w:hint="eastAsia" w:ascii="Times New Roman" w:hAnsi="宋体" w:eastAsia="仿宋_GB2312"/>
          <w:sz w:val="32"/>
          <w:szCs w:val="28"/>
        </w:rPr>
        <w:t>分，自评得分1</w:t>
      </w:r>
      <w:r>
        <w:rPr>
          <w:rFonts w:hint="eastAsia" w:ascii="Times New Roman" w:hAnsi="宋体" w:eastAsia="仿宋_GB2312"/>
          <w:sz w:val="32"/>
          <w:szCs w:val="28"/>
          <w:lang w:val="en-US" w:eastAsia="zh-CN"/>
        </w:rPr>
        <w:t>0</w:t>
      </w:r>
      <w:r>
        <w:rPr>
          <w:rFonts w:hint="eastAsia" w:ascii="Times New Roman" w:hAnsi="宋体" w:eastAsia="仿宋_GB2312"/>
          <w:sz w:val="32"/>
          <w:szCs w:val="28"/>
        </w:rPr>
        <w:t>分，得分率为1</w:t>
      </w:r>
      <w:r>
        <w:rPr>
          <w:rFonts w:ascii="Times New Roman" w:hAnsi="宋体" w:eastAsia="仿宋_GB2312"/>
          <w:sz w:val="32"/>
          <w:szCs w:val="28"/>
        </w:rPr>
        <w:t>00</w:t>
      </w:r>
      <w:r>
        <w:rPr>
          <w:rFonts w:hint="eastAsia" w:ascii="Times New Roman" w:hAnsi="宋体" w:eastAsia="仿宋_GB2312"/>
          <w:sz w:val="32"/>
          <w:szCs w:val="28"/>
        </w:rPr>
        <w:t>%。</w:t>
      </w:r>
    </w:p>
    <w:p>
      <w:pPr>
        <w:pStyle w:val="19"/>
        <w:pageBreakBefore w:val="0"/>
        <w:tabs>
          <w:tab w:val="left" w:pos="3080"/>
        </w:tabs>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sz w:val="32"/>
          <w:szCs w:val="28"/>
          <w:lang w:val="en-US" w:eastAsia="zh-CN"/>
        </w:rPr>
      </w:pPr>
      <w:r>
        <w:rPr>
          <w:rFonts w:hint="eastAsia" w:ascii="Times New Roman" w:hAnsi="宋体" w:eastAsia="仿宋_GB2312"/>
          <w:b/>
          <w:bCs/>
          <w:sz w:val="32"/>
          <w:szCs w:val="28"/>
          <w:lang w:val="en-US" w:eastAsia="zh-CN"/>
        </w:rPr>
        <w:t>财务制度健全性：</w:t>
      </w:r>
      <w:r>
        <w:rPr>
          <w:rFonts w:hint="eastAsia" w:ascii="Times New Roman" w:hAnsi="宋体" w:eastAsia="仿宋_GB2312" w:cstheme="minorBidi"/>
          <w:kern w:val="2"/>
          <w:sz w:val="32"/>
          <w:szCs w:val="28"/>
          <w:lang w:val="en-US" w:eastAsia="zh-CN" w:bidi="ar-SA"/>
        </w:rPr>
        <w:t>单位制定了《秦安县人民法院财务管理制度》《秦安县人民法院差旅费管理办法</w:t>
      </w:r>
      <w:r>
        <w:rPr>
          <w:rFonts w:hint="eastAsia" w:ascii="Times New Roman" w:hAnsi="宋体" w:cstheme="minorBidi"/>
          <w:kern w:val="2"/>
          <w:sz w:val="32"/>
          <w:szCs w:val="28"/>
          <w:lang w:val="en-US" w:eastAsia="zh-CN" w:bidi="ar-SA"/>
        </w:rPr>
        <w:t>（</w:t>
      </w:r>
      <w:r>
        <w:rPr>
          <w:rFonts w:hint="eastAsia" w:ascii="Times New Roman" w:hAnsi="宋体" w:eastAsia="仿宋_GB2312" w:cstheme="minorBidi"/>
          <w:kern w:val="2"/>
          <w:sz w:val="32"/>
          <w:szCs w:val="28"/>
          <w:lang w:val="en-US" w:eastAsia="zh-CN" w:bidi="ar-SA"/>
        </w:rPr>
        <w:t>修订版</w:t>
      </w:r>
      <w:r>
        <w:rPr>
          <w:rFonts w:hint="eastAsia" w:ascii="Times New Roman" w:hAnsi="宋体" w:cstheme="minorBidi"/>
          <w:kern w:val="2"/>
          <w:sz w:val="32"/>
          <w:szCs w:val="28"/>
          <w:lang w:val="en-US" w:eastAsia="zh-CN" w:bidi="ar-SA"/>
        </w:rPr>
        <w:t>）</w:t>
      </w:r>
      <w:r>
        <w:rPr>
          <w:rFonts w:hint="eastAsia" w:ascii="Times New Roman" w:hAnsi="宋体" w:eastAsia="仿宋_GB2312" w:cstheme="minorBidi"/>
          <w:kern w:val="2"/>
          <w:sz w:val="32"/>
          <w:szCs w:val="28"/>
          <w:lang w:val="en-US" w:eastAsia="zh-CN" w:bidi="ar-SA"/>
        </w:rPr>
        <w:t>》《秦安县人民法院专项资金管理制度》等财务相关制度。该指标分值5分，自评得分为5分，得分率为100%。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default" w:ascii="Times New Roman" w:hAnsi="宋体" w:eastAsia="仿宋_GB2312"/>
          <w:sz w:val="32"/>
          <w:szCs w:val="28"/>
          <w:lang w:val="en-US" w:eastAsia="zh-CN"/>
        </w:rPr>
      </w:pPr>
      <w:r>
        <w:rPr>
          <w:rFonts w:hint="eastAsia" w:ascii="Times New Roman" w:hAnsi="宋体" w:eastAsia="仿宋_GB2312"/>
          <w:b/>
          <w:bCs/>
          <w:sz w:val="32"/>
          <w:szCs w:val="28"/>
          <w:lang w:val="en-US" w:eastAsia="zh-CN"/>
        </w:rPr>
        <w:t>资金管理规范性及长效机制：</w:t>
      </w:r>
      <w:r>
        <w:rPr>
          <w:rFonts w:hint="eastAsia" w:ascii="Times New Roman" w:hAnsi="仿宋_GB2312" w:eastAsia="仿宋_GB2312" w:cs="仿宋_GB2312"/>
          <w:sz w:val="32"/>
          <w:szCs w:val="28"/>
        </w:rPr>
        <w:t>我院积极狠抓规章制度建设，编制《</w:t>
      </w:r>
      <w:r>
        <w:rPr>
          <w:rFonts w:hint="eastAsia" w:ascii="Times New Roman" w:eastAsia="仿宋_GB2312" w:cs="仿宋_GB2312"/>
          <w:sz w:val="32"/>
          <w:szCs w:val="28"/>
          <w:lang w:val="en-US" w:eastAsia="zh-CN"/>
        </w:rPr>
        <w:t>秦安</w:t>
      </w:r>
      <w:r>
        <w:rPr>
          <w:rFonts w:hint="eastAsia" w:ascii="Times New Roman" w:hAnsi="仿宋_GB2312" w:eastAsia="仿宋_GB2312" w:cs="仿宋_GB2312"/>
          <w:sz w:val="32"/>
          <w:szCs w:val="28"/>
          <w:lang w:eastAsia="zh-CN"/>
        </w:rPr>
        <w:t>县</w:t>
      </w:r>
      <w:r>
        <w:rPr>
          <w:rFonts w:hint="eastAsia" w:ascii="Times New Roman" w:hAnsi="仿宋_GB2312" w:eastAsia="仿宋_GB2312" w:cs="仿宋_GB2312"/>
          <w:sz w:val="32"/>
          <w:szCs w:val="28"/>
        </w:rPr>
        <w:t>人民法院规</w:t>
      </w:r>
      <w:r>
        <w:rPr>
          <w:rFonts w:hint="eastAsia" w:ascii="Times New Roman" w:hAnsi="仿宋_GB2312" w:eastAsia="仿宋_GB2312" w:cs="仿宋_GB2312"/>
          <w:sz w:val="32"/>
          <w:szCs w:val="28"/>
          <w:highlight w:val="none"/>
        </w:rPr>
        <w:t>章制度汇编》，共收集整理编制</w:t>
      </w:r>
      <w:r>
        <w:rPr>
          <w:rFonts w:hint="eastAsia" w:ascii="Times New Roman" w:hAnsi="仿宋_GB2312" w:eastAsia="仿宋_GB2312" w:cs="仿宋_GB2312"/>
          <w:sz w:val="32"/>
          <w:szCs w:val="28"/>
          <w:highlight w:val="none"/>
          <w:lang w:eastAsia="zh-CN"/>
        </w:rPr>
        <w:t>各</w:t>
      </w:r>
      <w:r>
        <w:rPr>
          <w:rFonts w:hint="eastAsia" w:ascii="Times New Roman" w:hAnsi="仿宋_GB2312" w:eastAsia="仿宋_GB2312" w:cs="仿宋_GB2312"/>
          <w:sz w:val="32"/>
          <w:szCs w:val="28"/>
          <w:highlight w:val="none"/>
        </w:rPr>
        <w:t>项规章制度，涉及</w:t>
      </w:r>
      <w:r>
        <w:rPr>
          <w:rFonts w:hint="eastAsia" w:ascii="Times New Roman" w:hAnsi="仿宋_GB2312" w:eastAsia="仿宋_GB2312" w:cs="仿宋_GB2312"/>
          <w:sz w:val="32"/>
          <w:szCs w:val="28"/>
          <w:highlight w:val="none"/>
          <w:lang w:eastAsia="zh-CN"/>
        </w:rPr>
        <w:t>财务</w:t>
      </w:r>
      <w:r>
        <w:rPr>
          <w:rFonts w:hint="eastAsia" w:ascii="Times New Roman" w:hAnsi="仿宋_GB2312" w:eastAsia="仿宋_GB2312" w:cs="仿宋_GB2312"/>
          <w:sz w:val="32"/>
          <w:szCs w:val="28"/>
          <w:highlight w:val="none"/>
        </w:rPr>
        <w:t>、</w:t>
      </w:r>
      <w:r>
        <w:rPr>
          <w:rFonts w:hint="eastAsia" w:ascii="Times New Roman" w:hAnsi="仿宋_GB2312" w:eastAsia="仿宋_GB2312" w:cs="仿宋_GB2312"/>
          <w:sz w:val="32"/>
          <w:szCs w:val="28"/>
          <w:highlight w:val="none"/>
          <w:lang w:eastAsia="zh-CN"/>
        </w:rPr>
        <w:t>资产管理、</w:t>
      </w:r>
      <w:r>
        <w:rPr>
          <w:rFonts w:hint="eastAsia" w:ascii="Times New Roman" w:hAnsi="仿宋_GB2312" w:eastAsia="仿宋_GB2312" w:cs="仿宋_GB2312"/>
          <w:sz w:val="32"/>
          <w:szCs w:val="28"/>
          <w:highlight w:val="none"/>
        </w:rPr>
        <w:t>审判执行、队伍管</w:t>
      </w:r>
      <w:r>
        <w:rPr>
          <w:rFonts w:hint="eastAsia" w:ascii="Times New Roman" w:hAnsi="仿宋_GB2312" w:eastAsia="仿宋_GB2312" w:cs="仿宋_GB2312"/>
          <w:sz w:val="32"/>
          <w:szCs w:val="28"/>
        </w:rPr>
        <w:t>理、行政后勤、综合管理等各方面，有效推动全院各项工作规范化开展，进一步发挥了制度监督约束效能，规范了管理行为。</w:t>
      </w:r>
      <w:r>
        <w:rPr>
          <w:rFonts w:hint="eastAsia" w:ascii="Times New Roman" w:eastAsia="仿宋_GB2312" w:cs="仿宋_GB2312"/>
          <w:sz w:val="32"/>
          <w:szCs w:val="28"/>
          <w:lang w:val="en-US" w:eastAsia="zh-CN"/>
        </w:rPr>
        <w:t>该指标分值合计5分，自评得分5分，得分率为100%</w:t>
      </w:r>
    </w:p>
    <w:p>
      <w:pPr>
        <w:pageBreakBefore w:val="0"/>
        <w:numPr>
          <w:ilvl w:val="255"/>
          <w:numId w:val="0"/>
        </w:numPr>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szCs w:val="28"/>
        </w:rPr>
      </w:pPr>
      <w:r>
        <w:rPr>
          <w:rFonts w:hint="eastAsia" w:ascii="Times New Roman" w:eastAsia="仿宋_GB2312"/>
          <w:b/>
          <w:bCs/>
          <w:sz w:val="32"/>
          <w:szCs w:val="28"/>
        </w:rPr>
        <w:t>（3）满意度指标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hAnsi="宋体" w:eastAsia="仿宋_GB2312"/>
          <w:sz w:val="32"/>
          <w:szCs w:val="28"/>
        </w:rPr>
      </w:pPr>
      <w:r>
        <w:rPr>
          <w:rFonts w:hint="eastAsia" w:ascii="Times New Roman" w:hAnsi="宋体" w:eastAsia="仿宋_GB2312"/>
          <w:sz w:val="32"/>
          <w:szCs w:val="28"/>
        </w:rPr>
        <w:t>服务对象满意度主要考察当事人满意度</w:t>
      </w:r>
      <w:r>
        <w:rPr>
          <w:rFonts w:hint="eastAsia" w:ascii="Times New Roman" w:hAnsi="宋体"/>
          <w:sz w:val="32"/>
          <w:szCs w:val="28"/>
          <w:lang w:val="en-US" w:eastAsia="zh-CN"/>
        </w:rPr>
        <w:t>及</w:t>
      </w:r>
      <w:r>
        <w:rPr>
          <w:rFonts w:hint="eastAsia" w:ascii="Times New Roman" w:hAnsi="宋体" w:eastAsia="仿宋_GB2312"/>
          <w:sz w:val="32"/>
          <w:szCs w:val="28"/>
        </w:rPr>
        <w:t>法庭工作人员满意度，</w:t>
      </w:r>
      <w:r>
        <w:rPr>
          <w:rFonts w:hint="eastAsia" w:ascii="Times New Roman" w:hAnsi="宋体" w:eastAsia="仿宋_GB2312"/>
          <w:sz w:val="32"/>
          <w:szCs w:val="28"/>
          <w:lang w:val="en-US" w:eastAsia="zh-CN"/>
        </w:rPr>
        <w:t>该</w:t>
      </w:r>
      <w:r>
        <w:rPr>
          <w:rFonts w:hint="eastAsia" w:ascii="Times New Roman" w:hAnsi="宋体" w:eastAsia="仿宋_GB2312"/>
          <w:sz w:val="32"/>
          <w:szCs w:val="28"/>
        </w:rPr>
        <w:t>指标分值合计10分，自评得分10分，得分率为100%。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val="0"/>
          <w:bCs w:val="0"/>
          <w:sz w:val="32"/>
          <w:lang w:val="en-US" w:eastAsia="zh-CN"/>
        </w:rPr>
      </w:pPr>
      <w:r>
        <w:rPr>
          <w:rFonts w:hint="eastAsia" w:ascii="Times New Roman" w:hAnsi="宋体" w:eastAsia="仿宋_GB2312"/>
          <w:b/>
          <w:bCs/>
          <w:sz w:val="32"/>
          <w:szCs w:val="28"/>
          <w:lang w:val="en-US" w:eastAsia="zh-CN"/>
        </w:rPr>
        <w:t>当事人</w:t>
      </w:r>
      <w:r>
        <w:rPr>
          <w:rFonts w:hint="eastAsia" w:ascii="Times New Roman" w:hAnsi="宋体" w:eastAsia="仿宋_GB2312"/>
          <w:b/>
          <w:bCs/>
          <w:sz w:val="32"/>
          <w:szCs w:val="28"/>
        </w:rPr>
        <w:t>满意度：</w:t>
      </w:r>
      <w:r>
        <w:rPr>
          <w:rFonts w:hint="eastAsia" w:ascii="Times New Roman" w:hAnsi="宋体" w:eastAsia="仿宋_GB2312"/>
          <w:b w:val="0"/>
          <w:bCs w:val="0"/>
          <w:sz w:val="32"/>
          <w:szCs w:val="28"/>
          <w:lang w:val="en-US" w:eastAsia="zh-CN"/>
        </w:rPr>
        <w:t>我院依托在线调解平台，突破线下调解场所有限、联动不畅等问题，完成数字法院系统与人民法院在线调解平台的对接，将解纷资源汇聚在网上，为当事人提供在线调解、确认等解纷服务，从“一律敞开大门”到“就近提供服务”，当事人可以选择家门口的人民法院申请立案，有效减轻诉累，</w:t>
      </w:r>
      <w:r>
        <w:rPr>
          <w:rFonts w:hint="eastAsia" w:ascii="Times New Roman" w:hAnsi="宋体" w:eastAsia="仿宋_GB2312" w:cstheme="minorBidi"/>
          <w:b w:val="0"/>
          <w:bCs w:val="0"/>
          <w:kern w:val="2"/>
          <w:sz w:val="32"/>
          <w:szCs w:val="28"/>
          <w:highlight w:val="none"/>
          <w:lang w:val="en-US" w:eastAsia="zh-CN" w:bidi="ar-SA"/>
        </w:rPr>
        <w:t>案件</w:t>
      </w:r>
      <w:r>
        <w:rPr>
          <w:rFonts w:hint="eastAsia" w:ascii="Times New Roman" w:hAnsi="宋体" w:cstheme="minorBidi"/>
          <w:b w:val="0"/>
          <w:bCs w:val="0"/>
          <w:kern w:val="2"/>
          <w:sz w:val="32"/>
          <w:szCs w:val="28"/>
          <w:highlight w:val="none"/>
          <w:lang w:val="en-US" w:eastAsia="zh-CN" w:bidi="ar-SA"/>
        </w:rPr>
        <w:t>当事人</w:t>
      </w:r>
      <w:r>
        <w:rPr>
          <w:rFonts w:hint="eastAsia" w:ascii="Times New Roman" w:hAnsi="宋体" w:eastAsia="仿宋_GB2312" w:cstheme="minorBidi"/>
          <w:b w:val="0"/>
          <w:bCs w:val="0"/>
          <w:kern w:val="2"/>
          <w:sz w:val="32"/>
          <w:szCs w:val="28"/>
          <w:highlight w:val="none"/>
          <w:lang w:val="en-US" w:eastAsia="zh-CN" w:bidi="ar-SA"/>
        </w:rPr>
        <w:t>满意度达到</w:t>
      </w:r>
      <w:r>
        <w:rPr>
          <w:rFonts w:hint="eastAsia" w:ascii="Times New Roman" w:hAnsi="宋体" w:cstheme="minorBidi"/>
          <w:b w:val="0"/>
          <w:bCs w:val="0"/>
          <w:kern w:val="2"/>
          <w:sz w:val="32"/>
          <w:szCs w:val="28"/>
          <w:highlight w:val="none"/>
          <w:lang w:val="en-US" w:eastAsia="zh-CN" w:bidi="ar-SA"/>
        </w:rPr>
        <w:t>98</w:t>
      </w:r>
      <w:r>
        <w:rPr>
          <w:rFonts w:hint="eastAsia" w:ascii="Times New Roman" w:hAnsi="宋体" w:eastAsia="仿宋_GB2312" w:cstheme="minorBidi"/>
          <w:b w:val="0"/>
          <w:bCs w:val="0"/>
          <w:kern w:val="2"/>
          <w:sz w:val="32"/>
          <w:szCs w:val="28"/>
          <w:highlight w:val="none"/>
          <w:lang w:val="en-US" w:eastAsia="zh-CN" w:bidi="ar-SA"/>
        </w:rPr>
        <w:t>%，</w:t>
      </w:r>
      <w:r>
        <w:rPr>
          <w:rFonts w:hint="eastAsia" w:ascii="Times New Roman" w:hAnsi="宋体" w:eastAsia="仿宋_GB2312"/>
          <w:b w:val="0"/>
          <w:bCs w:val="0"/>
          <w:sz w:val="32"/>
          <w:szCs w:val="28"/>
          <w:lang w:val="en-US" w:eastAsia="zh-CN"/>
        </w:rPr>
        <w:t>指标值达到年度指标值。</w:t>
      </w:r>
      <w:r>
        <w:rPr>
          <w:rFonts w:hint="eastAsia" w:ascii="Times New Roman" w:hAnsi="宋体" w:eastAsia="仿宋_GB2312" w:cstheme="minorBidi"/>
          <w:b w:val="0"/>
          <w:bCs w:val="0"/>
          <w:kern w:val="2"/>
          <w:sz w:val="32"/>
          <w:szCs w:val="28"/>
          <w:highlight w:val="none"/>
          <w:lang w:val="en-US" w:eastAsia="zh-CN" w:bidi="ar-SA"/>
        </w:rPr>
        <w:t>该指标分值5分，自评得分为5分，得分率为100%。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sz w:val="32"/>
          <w:szCs w:val="28"/>
          <w:highlight w:val="none"/>
        </w:rPr>
      </w:pPr>
      <w:r>
        <w:rPr>
          <w:rFonts w:hint="eastAsia" w:ascii="Times New Roman" w:eastAsia="仿宋_GB2312"/>
          <w:b/>
          <w:bCs/>
          <w:sz w:val="32"/>
          <w:szCs w:val="28"/>
          <w:lang w:val="en-US" w:eastAsia="zh-CN"/>
        </w:rPr>
        <w:t>工作人员满意度</w:t>
      </w:r>
      <w:r>
        <w:rPr>
          <w:rFonts w:hint="eastAsia" w:ascii="Times New Roman" w:eastAsia="仿宋_GB2312"/>
          <w:b/>
          <w:bCs/>
          <w:sz w:val="32"/>
          <w:szCs w:val="28"/>
        </w:rPr>
        <w:t>：</w:t>
      </w:r>
      <w:bookmarkStart w:id="83" w:name="_Toc40046043"/>
      <w:r>
        <w:rPr>
          <w:rFonts w:ascii="Times New Roman" w:eastAsia="仿宋_GB2312"/>
          <w:sz w:val="32"/>
        </w:rPr>
        <w:t>我院积极开展</w:t>
      </w:r>
      <w:r>
        <w:rPr>
          <w:rFonts w:hint="eastAsia" w:ascii="Times New Roman" w:eastAsia="仿宋_GB2312"/>
          <w:sz w:val="32"/>
          <w:lang w:eastAsia="zh-CN"/>
        </w:rPr>
        <w:t>派出</w:t>
      </w:r>
      <w:r>
        <w:rPr>
          <w:rFonts w:hint="eastAsia" w:ascii="Times New Roman" w:eastAsia="仿宋_GB2312"/>
          <w:sz w:val="32"/>
          <w:lang w:val="en-US" w:eastAsia="zh-CN"/>
        </w:rPr>
        <w:t>水电</w:t>
      </w:r>
      <w:r>
        <w:rPr>
          <w:rFonts w:hint="eastAsia" w:ascii="Times New Roman" w:eastAsia="仿宋_GB2312"/>
          <w:sz w:val="32"/>
        </w:rPr>
        <w:t>服务保障</w:t>
      </w:r>
      <w:r>
        <w:rPr>
          <w:rFonts w:ascii="Times New Roman" w:eastAsia="仿宋_GB2312"/>
          <w:sz w:val="32"/>
        </w:rPr>
        <w:t>和</w:t>
      </w:r>
      <w:r>
        <w:rPr>
          <w:rFonts w:hint="eastAsia" w:ascii="Times New Roman" w:eastAsia="仿宋_GB2312"/>
          <w:sz w:val="32"/>
          <w:lang w:val="en-US" w:eastAsia="zh-CN"/>
        </w:rPr>
        <w:t>公务用车</w:t>
      </w:r>
      <w:r>
        <w:rPr>
          <w:rFonts w:hint="eastAsia" w:ascii="Times New Roman" w:eastAsia="仿宋_GB2312"/>
          <w:sz w:val="32"/>
        </w:rPr>
        <w:t>的</w:t>
      </w:r>
      <w:r>
        <w:rPr>
          <w:rFonts w:hint="eastAsia" w:ascii="Times New Roman" w:eastAsia="仿宋_GB2312"/>
          <w:sz w:val="32"/>
          <w:lang w:val="en-US" w:eastAsia="zh-CN"/>
        </w:rPr>
        <w:t>运行维护</w:t>
      </w:r>
      <w:r>
        <w:rPr>
          <w:rFonts w:ascii="Times New Roman" w:eastAsia="仿宋_GB2312"/>
          <w:sz w:val="32"/>
        </w:rPr>
        <w:t>工作，进一步提高了办公效率，</w:t>
      </w:r>
      <w:r>
        <w:rPr>
          <w:rFonts w:hint="eastAsia" w:ascii="Times New Roman" w:eastAsia="仿宋_GB2312"/>
          <w:sz w:val="32"/>
        </w:rPr>
        <w:t>工作环境得到优化改善，后勤保障能力得到提升</w:t>
      </w:r>
      <w:r>
        <w:rPr>
          <w:rFonts w:ascii="Times New Roman" w:eastAsia="仿宋_GB2312"/>
          <w:sz w:val="32"/>
        </w:rPr>
        <w:t>，</w:t>
      </w:r>
      <w:r>
        <w:rPr>
          <w:rFonts w:hint="eastAsia" w:ascii="Times New Roman" w:eastAsia="仿宋_GB2312"/>
          <w:sz w:val="32"/>
          <w:lang w:eastAsia="zh-CN"/>
        </w:rPr>
        <w:t>派出法庭</w:t>
      </w:r>
      <w:r>
        <w:rPr>
          <w:rFonts w:hint="eastAsia" w:ascii="Times New Roman" w:eastAsia="仿宋_GB2312"/>
          <w:sz w:val="32"/>
        </w:rPr>
        <w:t>工作人员</w:t>
      </w:r>
      <w:r>
        <w:rPr>
          <w:rFonts w:ascii="Times New Roman" w:eastAsia="仿宋_GB2312"/>
          <w:sz w:val="32"/>
        </w:rPr>
        <w:t>满意度为</w:t>
      </w:r>
      <w:r>
        <w:rPr>
          <w:rFonts w:hint="eastAsia" w:ascii="Times New Roman"/>
          <w:sz w:val="32"/>
          <w:lang w:val="en-US" w:eastAsia="zh-CN"/>
        </w:rPr>
        <w:t>95</w:t>
      </w:r>
      <w:r>
        <w:rPr>
          <w:rFonts w:ascii="Times New Roman" w:eastAsia="仿宋_GB2312"/>
          <w:sz w:val="32"/>
        </w:rPr>
        <w:t>%，达到年度指标值。该指标分值</w:t>
      </w:r>
      <w:r>
        <w:rPr>
          <w:rFonts w:hint="eastAsia" w:ascii="Times New Roman" w:eastAsia="仿宋_GB2312"/>
          <w:sz w:val="32"/>
          <w:lang w:val="en-US" w:eastAsia="zh-CN"/>
        </w:rPr>
        <w:t>5</w:t>
      </w:r>
      <w:r>
        <w:rPr>
          <w:rFonts w:ascii="Times New Roman" w:eastAsia="仿宋_GB2312"/>
          <w:sz w:val="32"/>
        </w:rPr>
        <w:t>分，自评得分为</w:t>
      </w:r>
      <w:r>
        <w:rPr>
          <w:rFonts w:hint="eastAsia" w:ascii="Times New Roman" w:eastAsia="仿宋_GB2312"/>
          <w:sz w:val="32"/>
          <w:lang w:val="en-US" w:eastAsia="zh-CN"/>
        </w:rPr>
        <w:t>5</w:t>
      </w:r>
      <w:r>
        <w:rPr>
          <w:rFonts w:ascii="Times New Roman" w:eastAsia="仿宋_GB2312"/>
          <w:sz w:val="32"/>
        </w:rPr>
        <w:t>分，得分率</w:t>
      </w:r>
      <w:r>
        <w:rPr>
          <w:rFonts w:hint="eastAsia" w:ascii="Times New Roman"/>
          <w:sz w:val="32"/>
          <w:lang w:val="en-US" w:eastAsia="zh-CN"/>
        </w:rPr>
        <w:t>为</w:t>
      </w:r>
      <w:r>
        <w:rPr>
          <w:rFonts w:ascii="Times New Roman" w:eastAsia="仿宋_GB2312"/>
          <w:sz w:val="32"/>
        </w:rPr>
        <w:t>100%</w:t>
      </w:r>
    </w:p>
    <w:p>
      <w:pPr>
        <w:pStyle w:val="5"/>
        <w:keepNext/>
        <w:keepLines/>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2"/>
        <w:rPr>
          <w:rFonts w:ascii="Times New Roman" w:eastAsia="仿宋_GB2312"/>
          <w:b/>
          <w:sz w:val="32"/>
        </w:rPr>
      </w:pPr>
      <w:r>
        <w:rPr>
          <w:rFonts w:hint="eastAsia" w:ascii="Times New Roman" w:eastAsia="仿宋_GB2312"/>
          <w:b/>
          <w:sz w:val="32"/>
          <w:lang w:val="en-US" w:eastAsia="zh-CN"/>
        </w:rPr>
        <w:t>3.</w:t>
      </w:r>
      <w:r>
        <w:rPr>
          <w:rFonts w:hint="eastAsia" w:ascii="Times New Roman" w:eastAsia="仿宋_GB2312"/>
          <w:b/>
          <w:sz w:val="32"/>
        </w:rPr>
        <w:t>偏离绩效目标的原因及下一步改进措施</w:t>
      </w:r>
      <w:bookmarkEnd w:id="83"/>
    </w:p>
    <w:p>
      <w:pPr>
        <w:keepNext/>
        <w:keepLines/>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Times New Roman" w:hAnsi="仿宋_GB2312" w:eastAsia="仿宋_GB2312" w:cs="仿宋_GB2312"/>
          <w:b w:val="0"/>
          <w:bCs w:val="0"/>
          <w:sz w:val="32"/>
          <w:szCs w:val="28"/>
          <w:lang w:val="en-US" w:eastAsia="zh-CN"/>
        </w:rPr>
      </w:pPr>
      <w:bookmarkStart w:id="84" w:name="_Toc6037"/>
      <w:bookmarkStart w:id="85" w:name="_Toc40046044"/>
      <w:bookmarkStart w:id="86" w:name="_Toc28429"/>
      <w:bookmarkStart w:id="87" w:name="_Toc7812"/>
      <w:bookmarkStart w:id="88" w:name="_Toc513"/>
      <w:r>
        <w:rPr>
          <w:rFonts w:hint="eastAsia" w:ascii="Times New Roman" w:hAnsi="仿宋_GB2312" w:eastAsia="仿宋_GB2312" w:cs="仿宋_GB2312"/>
          <w:b w:val="0"/>
          <w:bCs w:val="0"/>
          <w:sz w:val="32"/>
          <w:szCs w:val="28"/>
          <w:lang w:val="en-US" w:eastAsia="zh-CN"/>
        </w:rPr>
        <w:t>无</w:t>
      </w:r>
      <w:r>
        <w:rPr>
          <w:rFonts w:hint="eastAsia" w:ascii="Times New Roman" w:cs="仿宋_GB2312"/>
          <w:b w:val="0"/>
          <w:bCs w:val="0"/>
          <w:sz w:val="32"/>
          <w:szCs w:val="28"/>
          <w:lang w:val="en-US" w:eastAsia="zh-CN"/>
        </w:rPr>
        <w:t>偏差</w:t>
      </w:r>
      <w:r>
        <w:rPr>
          <w:rFonts w:hint="eastAsia" w:ascii="Times New Roman" w:eastAsia="仿宋_GB2312" w:cs="仿宋_GB2312"/>
          <w:b w:val="0"/>
          <w:bCs w:val="0"/>
          <w:sz w:val="32"/>
          <w:szCs w:val="28"/>
          <w:lang w:val="en-US" w:eastAsia="zh-CN"/>
        </w:rPr>
        <w:t>。</w:t>
      </w:r>
    </w:p>
    <w:p>
      <w:pPr>
        <w:pStyle w:val="4"/>
        <w:pageBreakBefore w:val="0"/>
        <w:kinsoku/>
        <w:wordWrap/>
        <w:overflowPunct w:val="0"/>
        <w:topLinePunct w:val="0"/>
        <w:bidi w:val="0"/>
        <w:snapToGrid/>
        <w:spacing w:before="0" w:beforeAutospacing="0" w:after="0" w:afterAutospacing="0" w:line="560" w:lineRule="exact"/>
        <w:ind w:left="0" w:leftChars="0" w:right="0" w:rightChars="0" w:firstLine="643" w:firstLineChars="200"/>
        <w:jc w:val="both"/>
        <w:outlineLvl w:val="1"/>
        <w:rPr>
          <w:rFonts w:ascii="Arial" w:eastAsia="楷体"/>
          <w:b/>
          <w:sz w:val="32"/>
        </w:rPr>
      </w:pPr>
      <w:bookmarkStart w:id="89" w:name="_Toc4907"/>
      <w:r>
        <w:rPr>
          <w:rFonts w:hint="eastAsia" w:ascii="Arial" w:eastAsia="楷体"/>
          <w:b/>
          <w:sz w:val="32"/>
        </w:rPr>
        <w:t>（二）</w:t>
      </w:r>
      <w:bookmarkEnd w:id="84"/>
      <w:bookmarkEnd w:id="85"/>
      <w:r>
        <w:rPr>
          <w:rFonts w:hint="eastAsia" w:ascii="Arial" w:eastAsia="楷体"/>
          <w:b/>
          <w:sz w:val="32"/>
        </w:rPr>
        <w:t>业务费</w:t>
      </w:r>
      <w:bookmarkEnd w:id="86"/>
      <w:bookmarkEnd w:id="87"/>
      <w:bookmarkEnd w:id="88"/>
      <w:bookmarkEnd w:id="89"/>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highlight w:val="none"/>
        </w:rPr>
      </w:pPr>
      <w:bookmarkStart w:id="90" w:name="_Toc40046064"/>
      <w:bookmarkStart w:id="91" w:name="_Toc22570"/>
      <w:bookmarkStart w:id="92" w:name="_Toc1889"/>
      <w:bookmarkStart w:id="93" w:name="_Toc3777"/>
      <w:bookmarkStart w:id="94" w:name="_Toc18806"/>
      <w:bookmarkStart w:id="95" w:name="_Toc7144"/>
      <w:bookmarkStart w:id="96" w:name="_Toc40046065"/>
      <w:r>
        <w:rPr>
          <w:rFonts w:hint="eastAsia" w:ascii="Times New Roman" w:eastAsia="仿宋_GB2312"/>
          <w:sz w:val="32"/>
          <w:highlight w:val="none"/>
        </w:rPr>
        <w:t>本次绩效自评综合评定202</w:t>
      </w:r>
      <w:r>
        <w:rPr>
          <w:rFonts w:hint="eastAsia" w:ascii="Times New Roman" w:eastAsia="仿宋_GB2312"/>
          <w:sz w:val="32"/>
          <w:highlight w:val="none"/>
          <w:lang w:val="en-US" w:eastAsia="zh-CN"/>
        </w:rPr>
        <w:t>2</w:t>
      </w:r>
      <w:r>
        <w:rPr>
          <w:rFonts w:hint="eastAsia" w:ascii="Times New Roman" w:eastAsia="仿宋_GB2312"/>
          <w:sz w:val="32"/>
          <w:highlight w:val="none"/>
        </w:rPr>
        <w:t>年</w:t>
      </w:r>
      <w:r>
        <w:rPr>
          <w:rFonts w:hint="eastAsia" w:ascii="Times New Roman" w:eastAsia="仿宋_GB2312"/>
          <w:sz w:val="32"/>
          <w:highlight w:val="none"/>
          <w:lang w:val="en-US" w:eastAsia="zh-CN"/>
        </w:rPr>
        <w:t>业务费</w:t>
      </w:r>
      <w:r>
        <w:rPr>
          <w:rFonts w:hint="eastAsia" w:ascii="Times New Roman" w:eastAsia="仿宋_GB2312"/>
          <w:sz w:val="32"/>
          <w:highlight w:val="none"/>
        </w:rPr>
        <w:t>项目支出绩效得分为</w:t>
      </w:r>
      <w:r>
        <w:rPr>
          <w:rFonts w:hint="eastAsia" w:ascii="Times New Roman" w:eastAsia="仿宋_GB2312"/>
          <w:sz w:val="32"/>
          <w:highlight w:val="none"/>
          <w:lang w:val="en-US" w:eastAsia="zh-CN"/>
        </w:rPr>
        <w:t>100</w:t>
      </w:r>
      <w:r>
        <w:rPr>
          <w:rFonts w:hint="eastAsia" w:ascii="Times New Roman" w:eastAsia="仿宋_GB2312"/>
          <w:sz w:val="32"/>
          <w:highlight w:val="none"/>
        </w:rPr>
        <w:t>分，绩效等级为“</w:t>
      </w:r>
      <w:r>
        <w:rPr>
          <w:rFonts w:hint="eastAsia" w:ascii="Times New Roman" w:eastAsia="仿宋_GB2312"/>
          <w:sz w:val="32"/>
          <w:highlight w:val="none"/>
          <w:lang w:val="en-US" w:eastAsia="zh-CN"/>
        </w:rPr>
        <w:t>优</w:t>
      </w:r>
      <w:r>
        <w:rPr>
          <w:rFonts w:hint="eastAsia" w:ascii="Times New Roman"/>
          <w:sz w:val="32"/>
          <w:highlight w:val="none"/>
          <w:lang w:val="en-US" w:eastAsia="zh-CN"/>
        </w:rPr>
        <w:t>秀</w:t>
      </w:r>
      <w:r>
        <w:rPr>
          <w:rFonts w:hint="eastAsia" w:ascii="Times New Roman" w:eastAsia="仿宋_GB2312"/>
          <w:sz w:val="32"/>
          <w:highlight w:val="none"/>
        </w:rPr>
        <w:t>”。项目支出绩效评价包括</w:t>
      </w:r>
      <w:r>
        <w:rPr>
          <w:rFonts w:hint="eastAsia" w:ascii="Times New Roman" w:hAnsi="仿宋_GB2312" w:eastAsia="仿宋_GB2312" w:cs="仿宋_GB2312"/>
          <w:sz w:val="32"/>
          <w:highlight w:val="none"/>
          <w:lang w:val="en-US" w:eastAsia="zh-CN"/>
        </w:rPr>
        <w:t>项目资金预算执行率、</w:t>
      </w:r>
      <w:r>
        <w:rPr>
          <w:rFonts w:hint="eastAsia" w:ascii="Times New Roman" w:eastAsia="仿宋_GB2312"/>
          <w:sz w:val="32"/>
          <w:highlight w:val="none"/>
        </w:rPr>
        <w:t>产出、效益、满意度</w:t>
      </w:r>
      <w:r>
        <w:rPr>
          <w:rFonts w:hint="eastAsia" w:ascii="Times New Roman" w:eastAsia="仿宋_GB2312"/>
          <w:sz w:val="32"/>
          <w:highlight w:val="none"/>
          <w:lang w:val="en-US" w:eastAsia="zh-CN"/>
        </w:rPr>
        <w:t>四</w:t>
      </w:r>
      <w:r>
        <w:rPr>
          <w:rFonts w:hint="eastAsia" w:ascii="Times New Roman" w:eastAsia="仿宋_GB2312"/>
          <w:sz w:val="32"/>
          <w:highlight w:val="none"/>
        </w:rPr>
        <w:t>个一级指标，下设</w:t>
      </w:r>
      <w:r>
        <w:rPr>
          <w:rFonts w:hint="eastAsia" w:ascii="Times New Roman" w:eastAsia="仿宋_GB2312"/>
          <w:sz w:val="32"/>
          <w:highlight w:val="none"/>
          <w:lang w:val="en-US" w:eastAsia="zh-CN"/>
        </w:rPr>
        <w:t>9</w:t>
      </w:r>
      <w:r>
        <w:rPr>
          <w:rFonts w:hint="eastAsia" w:ascii="Times New Roman" w:eastAsia="仿宋_GB2312"/>
          <w:sz w:val="32"/>
          <w:highlight w:val="none"/>
        </w:rPr>
        <w:t>个二级指标和</w:t>
      </w:r>
      <w:r>
        <w:rPr>
          <w:rFonts w:hint="eastAsia" w:ascii="Times New Roman" w:eastAsia="仿宋_GB2312"/>
          <w:sz w:val="32"/>
          <w:highlight w:val="none"/>
          <w:lang w:val="en-US" w:eastAsia="zh-CN"/>
        </w:rPr>
        <w:t>17</w:t>
      </w:r>
      <w:r>
        <w:rPr>
          <w:rFonts w:hint="eastAsia" w:ascii="Times New Roman" w:eastAsia="仿宋_GB2312"/>
          <w:sz w:val="32"/>
          <w:highlight w:val="none"/>
        </w:rPr>
        <w:t>个三级指标。项目资金预算执行率</w:t>
      </w:r>
      <w:r>
        <w:rPr>
          <w:rFonts w:hint="eastAsia" w:ascii="Times New Roman" w:eastAsia="仿宋_GB2312"/>
          <w:sz w:val="32"/>
          <w:highlight w:val="none"/>
          <w:lang w:val="en-US" w:eastAsia="zh-CN"/>
        </w:rPr>
        <w:t>100</w:t>
      </w:r>
      <w:r>
        <w:rPr>
          <w:rFonts w:hint="eastAsia" w:ascii="Times New Roman" w:eastAsia="仿宋_GB2312"/>
          <w:sz w:val="32"/>
          <w:highlight w:val="none"/>
        </w:rPr>
        <w:t>%，一级指标得分情况详见下表：</w:t>
      </w:r>
    </w:p>
    <w:tbl>
      <w:tblPr>
        <w:tblStyle w:val="21"/>
        <w:tblW w:w="9039"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33"/>
        <w:gridCol w:w="1678"/>
        <w:gridCol w:w="1668"/>
        <w:gridCol w:w="216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shd w:val="clear" w:color="auto" w:fill="BDD6EE"/>
            <w:vAlign w:val="center"/>
          </w:tcPr>
          <w:p>
            <w:pPr>
              <w:keepNext w:val="0"/>
              <w:keepLines w:val="0"/>
              <w:pageBreakBefore w:val="0"/>
              <w:widowControl/>
              <w:suppressLineNumbers w:val="0"/>
              <w:kinsoku/>
              <w:wordWrap/>
              <w:overflowPunct w:val="0"/>
              <w:topLinePunct w:val="0"/>
              <w:bidi w:val="0"/>
              <w:ind w:firstLine="482" w:firstLineChars="200"/>
              <w:jc w:val="center"/>
              <w:textAlignment w:val="center"/>
              <w:rPr>
                <w:rFonts w:ascii="宋体" w:hAnsi="宋体" w:cs="宋体"/>
                <w:b/>
                <w:color w:val="000000"/>
                <w:kern w:val="0"/>
                <w:sz w:val="24"/>
                <w:highlight w:val="none"/>
                <w:shd w:val="clear" w:color="auto" w:fill="BDD6EE"/>
              </w:rPr>
            </w:pPr>
            <w:r>
              <w:rPr>
                <w:rFonts w:hint="eastAsia" w:ascii="仿宋_GB2312" w:hAnsi="宋体" w:eastAsia="仿宋_GB2312" w:cs="仿宋_GB2312"/>
                <w:b/>
                <w:bCs/>
                <w:i w:val="0"/>
                <w:iCs w:val="0"/>
                <w:color w:val="000000"/>
                <w:kern w:val="0"/>
                <w:sz w:val="24"/>
                <w:szCs w:val="24"/>
                <w:u w:val="none"/>
                <w:lang w:val="en-US" w:eastAsia="zh-CN" w:bidi="ar"/>
              </w:rPr>
              <w:t>一级指标</w:t>
            </w:r>
          </w:p>
        </w:tc>
        <w:tc>
          <w:tcPr>
            <w:tcW w:w="1678" w:type="dxa"/>
            <w:shd w:val="clear" w:color="auto" w:fill="BDD6EE"/>
            <w:vAlign w:val="center"/>
          </w:tcPr>
          <w:p>
            <w:pPr>
              <w:keepNext w:val="0"/>
              <w:keepLines w:val="0"/>
              <w:pageBreakBefore w:val="0"/>
              <w:widowControl/>
              <w:suppressLineNumbers w:val="0"/>
              <w:kinsoku/>
              <w:wordWrap/>
              <w:overflowPunct w:val="0"/>
              <w:topLinePunct w:val="0"/>
              <w:bidi w:val="0"/>
              <w:ind w:firstLine="482" w:firstLineChars="200"/>
              <w:jc w:val="both"/>
              <w:textAlignment w:val="center"/>
              <w:rPr>
                <w:rFonts w:ascii="宋体" w:hAnsi="宋体" w:cs="宋体"/>
                <w:b/>
                <w:color w:val="000000"/>
                <w:kern w:val="0"/>
                <w:sz w:val="24"/>
                <w:highlight w:val="none"/>
                <w:shd w:val="clear" w:color="auto" w:fill="BDD6EE"/>
              </w:rPr>
            </w:pPr>
            <w:r>
              <w:rPr>
                <w:rFonts w:hint="eastAsia" w:ascii="仿宋_GB2312" w:hAnsi="宋体" w:eastAsia="仿宋_GB2312" w:cs="仿宋_GB2312"/>
                <w:b/>
                <w:bCs/>
                <w:i w:val="0"/>
                <w:iCs w:val="0"/>
                <w:color w:val="000000"/>
                <w:kern w:val="0"/>
                <w:sz w:val="24"/>
                <w:szCs w:val="24"/>
                <w:u w:val="none"/>
                <w:lang w:val="en-US" w:eastAsia="zh-CN" w:bidi="ar"/>
              </w:rPr>
              <w:t>分值</w:t>
            </w:r>
          </w:p>
        </w:tc>
        <w:tc>
          <w:tcPr>
            <w:tcW w:w="1668" w:type="dxa"/>
            <w:shd w:val="clear" w:color="auto" w:fill="BDD6EE"/>
            <w:vAlign w:val="center"/>
          </w:tcPr>
          <w:p>
            <w:pPr>
              <w:keepNext w:val="0"/>
              <w:keepLines w:val="0"/>
              <w:pageBreakBefore w:val="0"/>
              <w:widowControl/>
              <w:suppressLineNumbers w:val="0"/>
              <w:kinsoku/>
              <w:wordWrap/>
              <w:overflowPunct w:val="0"/>
              <w:topLinePunct w:val="0"/>
              <w:bidi w:val="0"/>
              <w:ind w:firstLine="482" w:firstLineChars="200"/>
              <w:jc w:val="center"/>
              <w:textAlignment w:val="center"/>
              <w:rPr>
                <w:rFonts w:ascii="宋体" w:hAnsi="宋体" w:cs="宋体"/>
                <w:b/>
                <w:color w:val="000000"/>
                <w:kern w:val="0"/>
                <w:sz w:val="24"/>
                <w:highlight w:val="none"/>
                <w:shd w:val="clear" w:color="auto" w:fill="BDD6EE"/>
              </w:rPr>
            </w:pPr>
            <w:r>
              <w:rPr>
                <w:rFonts w:hint="eastAsia" w:ascii="仿宋_GB2312" w:hAnsi="宋体" w:eastAsia="仿宋_GB2312" w:cs="仿宋_GB2312"/>
                <w:b/>
                <w:bCs/>
                <w:i w:val="0"/>
                <w:iCs w:val="0"/>
                <w:color w:val="000000"/>
                <w:kern w:val="0"/>
                <w:sz w:val="24"/>
                <w:szCs w:val="24"/>
                <w:u w:val="none"/>
                <w:lang w:val="en-US" w:eastAsia="zh-CN" w:bidi="ar"/>
              </w:rPr>
              <w:t>自评得分</w:t>
            </w:r>
          </w:p>
        </w:tc>
        <w:tc>
          <w:tcPr>
            <w:tcW w:w="2160" w:type="dxa"/>
            <w:shd w:val="clear" w:color="auto" w:fill="BDD6EE"/>
            <w:vAlign w:val="center"/>
          </w:tcPr>
          <w:p>
            <w:pPr>
              <w:keepNext w:val="0"/>
              <w:keepLines w:val="0"/>
              <w:pageBreakBefore w:val="0"/>
              <w:widowControl/>
              <w:suppressLineNumbers w:val="0"/>
              <w:kinsoku/>
              <w:wordWrap/>
              <w:overflowPunct w:val="0"/>
              <w:topLinePunct w:val="0"/>
              <w:bidi w:val="0"/>
              <w:ind w:firstLine="482" w:firstLineChars="200"/>
              <w:jc w:val="center"/>
              <w:textAlignment w:val="center"/>
              <w:rPr>
                <w:rFonts w:ascii="宋体" w:hAnsi="宋体" w:cs="宋体"/>
                <w:b/>
                <w:color w:val="000000"/>
                <w:kern w:val="0"/>
                <w:sz w:val="24"/>
                <w:highlight w:val="none"/>
                <w:shd w:val="clear" w:color="auto" w:fill="BDD6EE"/>
              </w:rPr>
            </w:pPr>
            <w:r>
              <w:rPr>
                <w:rFonts w:hint="eastAsia" w:ascii="仿宋_GB2312" w:hAnsi="宋体" w:eastAsia="仿宋_GB2312" w:cs="仿宋_GB2312"/>
                <w:b/>
                <w:bCs/>
                <w:i w:val="0"/>
                <w:iCs w:val="0"/>
                <w:color w:val="000000"/>
                <w:kern w:val="0"/>
                <w:sz w:val="24"/>
                <w:szCs w:val="24"/>
                <w:u w:val="none"/>
                <w:lang w:val="en-US" w:eastAsia="zh-CN" w:bidi="ar"/>
              </w:rPr>
              <w:t>得分率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9" w:hRule="atLeast"/>
        </w:trPr>
        <w:tc>
          <w:tcPr>
            <w:tcW w:w="3533" w:type="dxa"/>
            <w:vAlign w:val="center"/>
          </w:tcPr>
          <w:p>
            <w:pPr>
              <w:keepNext w:val="0"/>
              <w:keepLines w:val="0"/>
              <w:pageBreakBefore w:val="0"/>
              <w:widowControl/>
              <w:suppressLineNumbers w:val="0"/>
              <w:kinsoku/>
              <w:wordWrap/>
              <w:overflowPunct w:val="0"/>
              <w:topLinePunct w:val="0"/>
              <w:bidi w:val="0"/>
              <w:ind w:firstLine="480" w:firstLineChars="200"/>
              <w:jc w:val="left"/>
              <w:textAlignment w:val="center"/>
              <w:rPr>
                <w:rFonts w:hAnsi="宋体" w:cs="宋体"/>
                <w:color w:val="000000"/>
                <w:kern w:val="0"/>
                <w:sz w:val="24"/>
                <w:szCs w:val="28"/>
                <w:highlight w:val="none"/>
              </w:rPr>
            </w:pPr>
            <w:r>
              <w:rPr>
                <w:rFonts w:hint="eastAsia" w:ascii="仿宋_GB2312" w:hAnsi="宋体" w:eastAsia="仿宋_GB2312" w:cs="仿宋_GB2312"/>
                <w:i w:val="0"/>
                <w:iCs w:val="0"/>
                <w:color w:val="000000"/>
                <w:kern w:val="0"/>
                <w:sz w:val="24"/>
                <w:szCs w:val="24"/>
                <w:u w:val="none"/>
                <w:lang w:val="en-US" w:eastAsia="zh-CN" w:bidi="ar"/>
              </w:rPr>
              <w:t>预算执行率</w:t>
            </w:r>
          </w:p>
        </w:tc>
        <w:tc>
          <w:tcPr>
            <w:tcW w:w="167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w:t>
            </w:r>
          </w:p>
        </w:tc>
        <w:tc>
          <w:tcPr>
            <w:tcW w:w="166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10</w:t>
            </w:r>
          </w:p>
        </w:tc>
        <w:tc>
          <w:tcPr>
            <w:tcW w:w="216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keepNext w:val="0"/>
              <w:keepLines w:val="0"/>
              <w:pageBreakBefore w:val="0"/>
              <w:widowControl/>
              <w:suppressLineNumbers w:val="0"/>
              <w:kinsoku/>
              <w:wordWrap/>
              <w:overflowPunct w:val="0"/>
              <w:topLinePunct w:val="0"/>
              <w:bidi w:val="0"/>
              <w:ind w:firstLine="480" w:firstLineChars="200"/>
              <w:jc w:val="left"/>
              <w:textAlignment w:val="center"/>
              <w:rPr>
                <w:rFonts w:hint="eastAsia" w:hAnsi="宋体" w:eastAsia="仿宋_GB2312" w:cs="宋体"/>
                <w:color w:val="000000"/>
                <w:kern w:val="0"/>
                <w:sz w:val="24"/>
                <w:szCs w:val="28"/>
                <w:highlight w:val="none"/>
                <w:lang w:val="en-US" w:eastAsia="zh-CN"/>
              </w:rPr>
            </w:pPr>
            <w:r>
              <w:rPr>
                <w:rFonts w:hint="eastAsia" w:ascii="仿宋_GB2312" w:hAnsi="宋体" w:eastAsia="仿宋_GB2312" w:cs="仿宋_GB2312"/>
                <w:i w:val="0"/>
                <w:iCs w:val="0"/>
                <w:color w:val="000000"/>
                <w:kern w:val="0"/>
                <w:sz w:val="24"/>
                <w:szCs w:val="24"/>
                <w:u w:val="none"/>
                <w:lang w:val="en-US" w:eastAsia="zh-CN" w:bidi="ar"/>
              </w:rPr>
              <w:t>产出指标</w:t>
            </w:r>
          </w:p>
        </w:tc>
        <w:tc>
          <w:tcPr>
            <w:tcW w:w="167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50</w:t>
            </w:r>
          </w:p>
        </w:tc>
        <w:tc>
          <w:tcPr>
            <w:tcW w:w="166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i w:val="0"/>
                <w:iCs w:val="0"/>
                <w:color w:val="000000"/>
                <w:kern w:val="0"/>
                <w:sz w:val="22"/>
                <w:szCs w:val="22"/>
                <w:u w:val="none"/>
                <w:lang w:val="en-US" w:eastAsia="zh-CN" w:bidi="ar"/>
              </w:rPr>
              <w:t>50</w:t>
            </w:r>
          </w:p>
        </w:tc>
        <w:tc>
          <w:tcPr>
            <w:tcW w:w="216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keepNext w:val="0"/>
              <w:keepLines w:val="0"/>
              <w:pageBreakBefore w:val="0"/>
              <w:widowControl/>
              <w:suppressLineNumbers w:val="0"/>
              <w:kinsoku/>
              <w:wordWrap/>
              <w:overflowPunct w:val="0"/>
              <w:topLinePunct w:val="0"/>
              <w:bidi w:val="0"/>
              <w:ind w:firstLine="480" w:firstLineChars="200"/>
              <w:jc w:val="left"/>
              <w:textAlignment w:val="center"/>
              <w:rPr>
                <w:rFonts w:hint="eastAsia" w:hAnsi="宋体" w:eastAsia="仿宋_GB2312" w:cs="宋体"/>
                <w:color w:val="000000"/>
                <w:kern w:val="0"/>
                <w:sz w:val="24"/>
                <w:szCs w:val="28"/>
                <w:highlight w:val="none"/>
                <w:lang w:val="en-US" w:eastAsia="zh-CN"/>
              </w:rPr>
            </w:pPr>
            <w:r>
              <w:rPr>
                <w:rFonts w:hint="eastAsia" w:ascii="仿宋_GB2312" w:hAnsi="宋体" w:eastAsia="仿宋_GB2312" w:cs="仿宋_GB2312"/>
                <w:i w:val="0"/>
                <w:iCs w:val="0"/>
                <w:color w:val="000000"/>
                <w:kern w:val="0"/>
                <w:sz w:val="24"/>
                <w:szCs w:val="24"/>
                <w:u w:val="none"/>
                <w:lang w:val="en-US" w:eastAsia="zh-CN" w:bidi="ar"/>
              </w:rPr>
              <w:t>效益指标</w:t>
            </w:r>
          </w:p>
        </w:tc>
        <w:tc>
          <w:tcPr>
            <w:tcW w:w="167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30</w:t>
            </w:r>
          </w:p>
        </w:tc>
        <w:tc>
          <w:tcPr>
            <w:tcW w:w="166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30</w:t>
            </w:r>
          </w:p>
        </w:tc>
        <w:tc>
          <w:tcPr>
            <w:tcW w:w="216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76%</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keepNext w:val="0"/>
              <w:keepLines w:val="0"/>
              <w:pageBreakBefore w:val="0"/>
              <w:widowControl/>
              <w:suppressLineNumbers w:val="0"/>
              <w:kinsoku/>
              <w:wordWrap/>
              <w:overflowPunct w:val="0"/>
              <w:topLinePunct w:val="0"/>
              <w:bidi w:val="0"/>
              <w:ind w:firstLine="480" w:firstLineChars="200"/>
              <w:jc w:val="left"/>
              <w:textAlignment w:val="center"/>
              <w:rPr>
                <w:rFonts w:hint="eastAsia" w:hAnsi="宋体" w:eastAsia="仿宋_GB2312" w:cs="宋体"/>
                <w:color w:val="000000"/>
                <w:kern w:val="0"/>
                <w:sz w:val="24"/>
                <w:szCs w:val="28"/>
                <w:highlight w:val="none"/>
                <w:lang w:val="en-US" w:eastAsia="zh-CN"/>
              </w:rPr>
            </w:pPr>
            <w:r>
              <w:rPr>
                <w:rFonts w:hint="eastAsia" w:ascii="仿宋_GB2312" w:hAnsi="宋体" w:eastAsia="仿宋_GB2312" w:cs="仿宋_GB2312"/>
                <w:i w:val="0"/>
                <w:iCs w:val="0"/>
                <w:color w:val="000000"/>
                <w:kern w:val="0"/>
                <w:sz w:val="24"/>
                <w:szCs w:val="24"/>
                <w:u w:val="none"/>
                <w:lang w:val="en-US" w:eastAsia="zh-CN" w:bidi="ar"/>
              </w:rPr>
              <w:t>满意度指标</w:t>
            </w:r>
          </w:p>
        </w:tc>
        <w:tc>
          <w:tcPr>
            <w:tcW w:w="167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w:t>
            </w:r>
          </w:p>
        </w:tc>
        <w:tc>
          <w:tcPr>
            <w:tcW w:w="1668"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w:t>
            </w:r>
          </w:p>
        </w:tc>
        <w:tc>
          <w:tcPr>
            <w:tcW w:w="2160" w:type="dxa"/>
            <w:vAlign w:val="center"/>
          </w:tcPr>
          <w:p>
            <w:pPr>
              <w:keepNext w:val="0"/>
              <w:keepLines w:val="0"/>
              <w:pageBreakBefore w:val="0"/>
              <w:widowControl/>
              <w:suppressLineNumbers w:val="0"/>
              <w:kinsoku/>
              <w:wordWrap/>
              <w:overflowPunct w:val="0"/>
              <w:topLinePunct w:val="0"/>
              <w:bidi w:val="0"/>
              <w:ind w:firstLine="440" w:firstLineChars="200"/>
              <w:jc w:val="center"/>
              <w:textAlignment w:val="center"/>
              <w:rPr>
                <w:rFonts w:ascii="宋体" w:hAnsi="宋体" w:eastAsia="宋体" w:cs="宋体"/>
                <w:color w:val="000000"/>
                <w:kern w:val="0"/>
                <w:sz w:val="22"/>
                <w:szCs w:val="22"/>
                <w:highlight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shd w:val="clear" w:color="auto" w:fill="BDD6EE"/>
            <w:vAlign w:val="center"/>
          </w:tcPr>
          <w:p>
            <w:pPr>
              <w:keepNext w:val="0"/>
              <w:keepLines w:val="0"/>
              <w:pageBreakBefore w:val="0"/>
              <w:widowControl/>
              <w:suppressLineNumbers w:val="0"/>
              <w:kinsoku/>
              <w:wordWrap/>
              <w:overflowPunct w:val="0"/>
              <w:topLinePunct w:val="0"/>
              <w:bidi w:val="0"/>
              <w:ind w:firstLine="482" w:firstLineChars="200"/>
              <w:jc w:val="center"/>
              <w:textAlignment w:val="center"/>
              <w:rPr>
                <w:rFonts w:ascii="宋体" w:hAnsi="宋体" w:cs="宋体"/>
                <w:b/>
                <w:color w:val="000000"/>
                <w:kern w:val="0"/>
                <w:sz w:val="24"/>
                <w:highlight w:val="none"/>
                <w:shd w:val="clear" w:color="auto" w:fill="BDD6EE"/>
              </w:rPr>
            </w:pPr>
            <w:r>
              <w:rPr>
                <w:rFonts w:hint="eastAsia" w:ascii="仿宋_GB2312" w:hAnsi="宋体" w:eastAsia="仿宋_GB2312" w:cs="仿宋_GB2312"/>
                <w:b/>
                <w:bCs/>
                <w:i w:val="0"/>
                <w:iCs w:val="0"/>
                <w:color w:val="000000"/>
                <w:kern w:val="0"/>
                <w:sz w:val="24"/>
                <w:szCs w:val="24"/>
                <w:u w:val="none"/>
                <w:lang w:val="en-US" w:eastAsia="zh-CN" w:bidi="ar"/>
              </w:rPr>
              <w:t>合计</w:t>
            </w:r>
          </w:p>
        </w:tc>
        <w:tc>
          <w:tcPr>
            <w:tcW w:w="1678"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bCs/>
                <w:i w:val="0"/>
                <w:iCs w:val="0"/>
                <w:color w:val="000000"/>
                <w:kern w:val="0"/>
                <w:sz w:val="22"/>
                <w:szCs w:val="22"/>
                <w:u w:val="none"/>
                <w:lang w:val="en-US" w:eastAsia="zh-CN" w:bidi="ar"/>
              </w:rPr>
              <w:t>100</w:t>
            </w:r>
          </w:p>
        </w:tc>
        <w:tc>
          <w:tcPr>
            <w:tcW w:w="1668"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hint="default" w:ascii="宋体" w:hAnsi="宋体" w:eastAsia="宋体" w:cs="宋体"/>
                <w:b/>
                <w:color w:val="000000"/>
                <w:kern w:val="0"/>
                <w:sz w:val="22"/>
                <w:szCs w:val="22"/>
                <w:highlight w:val="none"/>
                <w:lang w:val="en-US" w:eastAsia="zh-CN"/>
              </w:rPr>
            </w:pPr>
            <w:r>
              <w:rPr>
                <w:rFonts w:hint="eastAsia" w:ascii="宋体" w:hAnsi="宋体" w:eastAsia="宋体" w:cs="宋体"/>
                <w:b/>
                <w:color w:val="000000"/>
                <w:kern w:val="0"/>
                <w:sz w:val="22"/>
                <w:szCs w:val="22"/>
                <w:highlight w:val="none"/>
                <w:lang w:val="en-US" w:eastAsia="zh-CN"/>
              </w:rPr>
              <w:t>100</w:t>
            </w:r>
          </w:p>
        </w:tc>
        <w:tc>
          <w:tcPr>
            <w:tcW w:w="2160" w:type="dxa"/>
            <w:shd w:val="clear" w:color="auto" w:fill="BDD6EE"/>
            <w:vAlign w:val="center"/>
          </w:tcPr>
          <w:p>
            <w:pPr>
              <w:keepNext w:val="0"/>
              <w:keepLines w:val="0"/>
              <w:pageBreakBefore w:val="0"/>
              <w:widowControl/>
              <w:suppressLineNumbers w:val="0"/>
              <w:kinsoku/>
              <w:wordWrap/>
              <w:overflowPunct w:val="0"/>
              <w:topLinePunct w:val="0"/>
              <w:bidi w:val="0"/>
              <w:ind w:firstLine="442" w:firstLineChars="20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bCs/>
                <w:i w:val="0"/>
                <w:iCs w:val="0"/>
                <w:color w:val="000000"/>
                <w:kern w:val="0"/>
                <w:sz w:val="22"/>
                <w:szCs w:val="22"/>
                <w:u w:val="none"/>
                <w:lang w:val="en-US" w:eastAsia="zh-CN" w:bidi="ar"/>
              </w:rPr>
              <w:t>100%</w:t>
            </w:r>
          </w:p>
        </w:tc>
      </w:tr>
    </w:tbl>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ascii="Times New Roman" w:eastAsia="仿宋_GB2312"/>
          <w:b/>
          <w:sz w:val="32"/>
          <w:szCs w:val="28"/>
        </w:rPr>
      </w:pPr>
      <w:r>
        <w:rPr>
          <w:rFonts w:hint="eastAsia" w:ascii="Times New Roman" w:eastAsia="仿宋_GB2312"/>
          <w:b/>
          <w:sz w:val="32"/>
          <w:szCs w:val="28"/>
        </w:rPr>
        <w:t>1</w:t>
      </w:r>
      <w:r>
        <w:rPr>
          <w:rFonts w:hint="eastAsia" w:ascii="Times New Roman" w:eastAsia="仿宋_GB2312"/>
          <w:b/>
          <w:sz w:val="32"/>
          <w:szCs w:val="28"/>
          <w:lang w:eastAsia="zh-CN"/>
        </w:rPr>
        <w:t>.</w:t>
      </w:r>
      <w:r>
        <w:rPr>
          <w:rFonts w:hint="eastAsia" w:ascii="Times New Roman" w:eastAsia="仿宋_GB2312"/>
          <w:b/>
          <w:sz w:val="32"/>
          <w:szCs w:val="28"/>
        </w:rPr>
        <w:t>项目支出预算执行情况</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rPr>
      </w:pPr>
      <w:r>
        <w:rPr>
          <w:rFonts w:hint="eastAsia" w:ascii="Times New Roman" w:eastAsia="仿宋_GB2312"/>
          <w:sz w:val="32"/>
          <w:lang w:eastAsia="zh-CN"/>
        </w:rPr>
        <w:t>业务费</w:t>
      </w:r>
      <w:r>
        <w:rPr>
          <w:rFonts w:hint="eastAsia" w:ascii="Times New Roman" w:eastAsia="仿宋_GB2312"/>
          <w:sz w:val="32"/>
          <w:szCs w:val="28"/>
        </w:rPr>
        <w:t>项目年初预算数</w:t>
      </w:r>
      <w:r>
        <w:rPr>
          <w:rFonts w:hint="eastAsia" w:ascii="Times New Roman" w:eastAsia="仿宋_GB2312"/>
          <w:sz w:val="32"/>
          <w:szCs w:val="28"/>
          <w:lang w:eastAsia="zh-CN"/>
        </w:rPr>
        <w:t>为</w:t>
      </w:r>
      <w:r>
        <w:rPr>
          <w:rFonts w:hint="eastAsia" w:ascii="Times New Roman" w:eastAsia="仿宋_GB2312"/>
          <w:sz w:val="32"/>
          <w:szCs w:val="28"/>
          <w:lang w:val="en-US" w:eastAsia="zh-CN"/>
        </w:rPr>
        <w:t>135.91万元</w:t>
      </w:r>
      <w:r>
        <w:rPr>
          <w:rFonts w:hint="eastAsia" w:ascii="Times New Roman" w:eastAsia="仿宋_GB2312"/>
          <w:sz w:val="32"/>
          <w:szCs w:val="28"/>
          <w:lang w:eastAsia="zh-CN"/>
        </w:rPr>
        <w:t>，</w:t>
      </w:r>
      <w:r>
        <w:rPr>
          <w:rFonts w:hint="eastAsia" w:ascii="Times New Roman" w:eastAsia="仿宋_GB2312"/>
          <w:sz w:val="32"/>
          <w:szCs w:val="28"/>
        </w:rPr>
        <w:t>全年预算数</w:t>
      </w:r>
      <w:r>
        <w:rPr>
          <w:rFonts w:hint="eastAsia" w:ascii="Times New Roman" w:eastAsia="仿宋_GB2312"/>
          <w:sz w:val="32"/>
          <w:szCs w:val="28"/>
          <w:lang w:val="en-US" w:eastAsia="zh-CN"/>
        </w:rPr>
        <w:t>为135.91万元。</w:t>
      </w:r>
      <w:r>
        <w:rPr>
          <w:rFonts w:hint="eastAsia" w:ascii="Times New Roman" w:eastAsia="仿宋_GB2312"/>
          <w:sz w:val="32"/>
          <w:szCs w:val="28"/>
        </w:rPr>
        <w:t>全年执行数为</w:t>
      </w:r>
      <w:r>
        <w:rPr>
          <w:rFonts w:hint="eastAsia" w:ascii="Times New Roman" w:eastAsia="仿宋_GB2312"/>
          <w:sz w:val="32"/>
          <w:szCs w:val="28"/>
          <w:lang w:val="en-US" w:eastAsia="zh-CN"/>
        </w:rPr>
        <w:t>135.91</w:t>
      </w:r>
      <w:r>
        <w:rPr>
          <w:rFonts w:hint="eastAsia" w:ascii="Times New Roman" w:eastAsia="仿宋_GB2312"/>
          <w:sz w:val="32"/>
          <w:szCs w:val="28"/>
        </w:rPr>
        <w:t>万元，预算执行率</w:t>
      </w:r>
      <w:r>
        <w:rPr>
          <w:rFonts w:hint="eastAsia" w:ascii="Times New Roman" w:eastAsia="仿宋_GB2312"/>
          <w:sz w:val="32"/>
          <w:szCs w:val="28"/>
          <w:lang w:val="en-US" w:eastAsia="zh-CN"/>
        </w:rPr>
        <w:t>100</w:t>
      </w:r>
      <w:r>
        <w:rPr>
          <w:rFonts w:hint="eastAsia" w:ascii="Times New Roman" w:eastAsia="仿宋_GB2312"/>
          <w:sz w:val="32"/>
          <w:szCs w:val="28"/>
        </w:rPr>
        <w:t>%，满分10分，得分</w:t>
      </w:r>
      <w:r>
        <w:rPr>
          <w:rFonts w:hint="eastAsia" w:ascii="Times New Roman" w:eastAsia="仿宋_GB2312"/>
          <w:sz w:val="32"/>
          <w:szCs w:val="28"/>
          <w:lang w:val="en-US" w:eastAsia="zh-CN"/>
        </w:rPr>
        <w:t>10</w:t>
      </w:r>
      <w:r>
        <w:rPr>
          <w:rFonts w:hint="eastAsia" w:ascii="Times New Roman" w:eastAsia="仿宋_GB2312"/>
          <w:sz w:val="32"/>
          <w:szCs w:val="28"/>
        </w:rPr>
        <w:t>分。</w:t>
      </w:r>
    </w:p>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ascii="Times New Roman" w:eastAsia="仿宋_GB2312"/>
          <w:b/>
          <w:sz w:val="32"/>
          <w:szCs w:val="28"/>
        </w:rPr>
      </w:pPr>
      <w:r>
        <w:rPr>
          <w:rFonts w:hint="eastAsia" w:ascii="Times New Roman" w:eastAsia="仿宋_GB2312"/>
          <w:b/>
          <w:sz w:val="32"/>
          <w:szCs w:val="28"/>
        </w:rPr>
        <w:t>2</w:t>
      </w:r>
      <w:r>
        <w:rPr>
          <w:rFonts w:hint="eastAsia" w:ascii="Times New Roman" w:eastAsia="仿宋_GB2312"/>
          <w:b/>
          <w:sz w:val="32"/>
          <w:szCs w:val="28"/>
          <w:lang w:eastAsia="zh-CN"/>
        </w:rPr>
        <w:t>.</w:t>
      </w:r>
      <w:r>
        <w:rPr>
          <w:rFonts w:hint="eastAsia" w:ascii="Times New Roman" w:eastAsia="仿宋_GB2312"/>
          <w:b/>
          <w:sz w:val="32"/>
          <w:szCs w:val="28"/>
        </w:rPr>
        <w:t>总体绩效目标完成情况分析</w:t>
      </w:r>
    </w:p>
    <w:p>
      <w:pPr>
        <w:pageBreakBefore w:val="0"/>
        <w:kinsoku/>
        <w:wordWrap/>
        <w:overflowPunct w:val="0"/>
        <w:topLinePunct w:val="0"/>
        <w:bidi w:val="0"/>
        <w:snapToGrid/>
        <w:spacing w:beforeAutospacing="0" w:afterAutospacing="0" w:line="560" w:lineRule="exact"/>
        <w:ind w:left="0" w:leftChars="0" w:firstLine="640" w:firstLineChars="200"/>
        <w:jc w:val="left"/>
        <w:rPr>
          <w:rFonts w:hint="eastAsia" w:ascii="Times New Roman" w:eastAsia="仿宋_GB2312"/>
          <w:sz w:val="32"/>
          <w:lang w:val="en-US" w:eastAsia="zh-CN"/>
        </w:rPr>
      </w:pPr>
      <w:r>
        <w:rPr>
          <w:rFonts w:hint="eastAsia" w:ascii="Times New Roman" w:eastAsia="仿宋_GB2312"/>
          <w:sz w:val="32"/>
          <w:lang w:val="en-US" w:eastAsia="zh-CN"/>
        </w:rPr>
        <w:t>办案质效有所提升、办案条件改善，审判执行业务经费有保障。</w:t>
      </w:r>
    </w:p>
    <w:p>
      <w:pPr>
        <w:keepNext w:val="0"/>
        <w:keepLines w:val="0"/>
        <w:pageBreakBefore w:val="0"/>
        <w:widowControl w:val="0"/>
        <w:kinsoku/>
        <w:wordWrap/>
        <w:overflowPunct w:val="0"/>
        <w:topLinePunct w:val="0"/>
        <w:autoSpaceDE/>
        <w:autoSpaceDN/>
        <w:bidi w:val="0"/>
        <w:adjustRightInd w:val="0"/>
        <w:snapToGrid/>
        <w:spacing w:beforeAutospacing="0" w:afterAutospacing="0" w:line="560" w:lineRule="exact"/>
        <w:ind w:left="0" w:leftChars="0" w:right="0" w:rightChars="0" w:firstLine="643" w:firstLineChars="200"/>
        <w:jc w:val="both"/>
        <w:textAlignment w:val="auto"/>
        <w:outlineLvl w:val="2"/>
        <w:rPr>
          <w:rFonts w:hint="eastAsia" w:ascii="Times New Roman" w:hAnsi="仿宋_GB2312" w:eastAsia="仿宋_GB2312" w:cstheme="minorBidi"/>
          <w:b/>
          <w:bCs/>
          <w:kern w:val="2"/>
          <w:sz w:val="32"/>
          <w:szCs w:val="28"/>
          <w:lang w:val="en-US" w:eastAsia="zh-CN" w:bidi="ar-SA"/>
        </w:rPr>
      </w:pPr>
      <w:r>
        <w:rPr>
          <w:rFonts w:hint="eastAsia" w:ascii="Times New Roman" w:hAnsi="仿宋_GB2312" w:eastAsia="仿宋_GB2312" w:cstheme="minorBidi"/>
          <w:b/>
          <w:bCs/>
          <w:kern w:val="2"/>
          <w:sz w:val="32"/>
          <w:szCs w:val="28"/>
          <w:lang w:val="en-US" w:eastAsia="zh-CN" w:bidi="ar-SA"/>
        </w:rPr>
        <w:t>3.各项指标完成情况分析</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rPr>
      </w:pPr>
      <w:r>
        <w:rPr>
          <w:rFonts w:hint="eastAsia" w:ascii="Times New Roman" w:eastAsia="仿宋_GB2312"/>
          <w:sz w:val="32"/>
        </w:rPr>
        <w:t>（1）产出指标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cs="仿宋_GB2312"/>
          <w:sz w:val="32"/>
          <w:szCs w:val="28"/>
        </w:rPr>
      </w:pPr>
      <w:r>
        <w:rPr>
          <w:rFonts w:hint="eastAsia" w:ascii="Times New Roman" w:eastAsia="仿宋_GB2312" w:cs="仿宋_GB2312"/>
          <w:sz w:val="32"/>
          <w:szCs w:val="28"/>
        </w:rPr>
        <w:t>产出指标下设数量</w:t>
      </w:r>
      <w:r>
        <w:rPr>
          <w:rFonts w:hint="eastAsia" w:ascii="Times New Roman" w:eastAsia="仿宋_GB2312" w:cs="仿宋_GB2312"/>
          <w:sz w:val="32"/>
          <w:szCs w:val="28"/>
          <w:lang w:eastAsia="zh-CN"/>
        </w:rPr>
        <w:t>、</w:t>
      </w:r>
      <w:r>
        <w:rPr>
          <w:rFonts w:hint="eastAsia" w:ascii="Times New Roman" w:eastAsia="仿宋_GB2312" w:cs="仿宋_GB2312"/>
          <w:sz w:val="32"/>
          <w:szCs w:val="28"/>
        </w:rPr>
        <w:t>质量</w:t>
      </w:r>
      <w:r>
        <w:rPr>
          <w:rFonts w:hint="eastAsia" w:ascii="Times New Roman" w:eastAsia="仿宋_GB2312" w:cs="仿宋_GB2312"/>
          <w:sz w:val="32"/>
          <w:szCs w:val="28"/>
          <w:lang w:eastAsia="zh-CN"/>
        </w:rPr>
        <w:t>、时效和成本</w:t>
      </w:r>
      <w:r>
        <w:rPr>
          <w:rFonts w:hint="eastAsia" w:ascii="Times New Roman" w:eastAsia="仿宋_GB2312" w:cs="仿宋_GB2312"/>
          <w:sz w:val="32"/>
          <w:szCs w:val="28"/>
          <w:lang w:val="en-US" w:eastAsia="zh-CN"/>
        </w:rPr>
        <w:t>4</w:t>
      </w:r>
      <w:r>
        <w:rPr>
          <w:rFonts w:hint="eastAsia" w:ascii="Times New Roman" w:eastAsia="仿宋_GB2312" w:cs="仿宋_GB2312"/>
          <w:sz w:val="32"/>
          <w:szCs w:val="28"/>
        </w:rPr>
        <w:t>个二级指标。总分值</w:t>
      </w:r>
      <w:r>
        <w:rPr>
          <w:rFonts w:hint="eastAsia" w:ascii="Times New Roman" w:eastAsia="仿宋_GB2312" w:cs="仿宋_GB2312"/>
          <w:sz w:val="32"/>
          <w:szCs w:val="28"/>
          <w:lang w:val="en-US" w:eastAsia="zh-CN"/>
        </w:rPr>
        <w:t>45</w:t>
      </w:r>
      <w:r>
        <w:rPr>
          <w:rFonts w:hint="eastAsia" w:ascii="Times New Roman" w:eastAsia="仿宋_GB2312" w:cs="仿宋_GB2312"/>
          <w:sz w:val="32"/>
          <w:szCs w:val="28"/>
        </w:rPr>
        <w:t>分，得分</w:t>
      </w:r>
      <w:r>
        <w:rPr>
          <w:rFonts w:hint="eastAsia" w:ascii="Times New Roman" w:eastAsia="仿宋_GB2312" w:cs="仿宋_GB2312"/>
          <w:sz w:val="32"/>
          <w:szCs w:val="28"/>
          <w:lang w:val="en-US" w:eastAsia="zh-CN"/>
        </w:rPr>
        <w:t>45</w:t>
      </w:r>
      <w:r>
        <w:rPr>
          <w:rFonts w:hint="eastAsia" w:ascii="Times New Roman" w:eastAsia="仿宋_GB2312" w:cs="仿宋_GB2312"/>
          <w:sz w:val="32"/>
          <w:szCs w:val="28"/>
        </w:rPr>
        <w:t>分，得分率</w:t>
      </w:r>
      <w:r>
        <w:rPr>
          <w:rFonts w:hint="eastAsia" w:ascii="Times New Roman" w:cs="仿宋_GB2312"/>
          <w:sz w:val="32"/>
          <w:szCs w:val="28"/>
          <w:lang w:val="en-US" w:eastAsia="zh-CN"/>
        </w:rPr>
        <w:t>为</w:t>
      </w:r>
      <w:r>
        <w:rPr>
          <w:rFonts w:hint="eastAsia" w:ascii="Times New Roman" w:eastAsia="仿宋_GB2312" w:cs="仿宋_GB2312"/>
          <w:sz w:val="32"/>
          <w:szCs w:val="28"/>
          <w:lang w:val="en-US" w:eastAsia="zh-CN"/>
        </w:rPr>
        <w:t>100</w:t>
      </w:r>
      <w:r>
        <w:rPr>
          <w:rFonts w:hint="eastAsia" w:ascii="Times New Roman" w:eastAsia="仿宋_GB2312" w:cs="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cs="仿宋_GB2312"/>
          <w:sz w:val="32"/>
          <w:szCs w:val="28"/>
        </w:rPr>
      </w:pPr>
      <w:r>
        <w:rPr>
          <w:rFonts w:hint="eastAsia" w:ascii="Times New Roman" w:eastAsia="仿宋_GB2312"/>
          <w:b/>
          <w:bCs/>
          <w:sz w:val="32"/>
          <w:szCs w:val="28"/>
        </w:rPr>
        <w:t>①数量指标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hAnsi="宋体" w:eastAsia="仿宋_GB2312"/>
          <w:sz w:val="32"/>
          <w:szCs w:val="28"/>
          <w:highlight w:val="none"/>
        </w:rPr>
      </w:pPr>
      <w:r>
        <w:rPr>
          <w:rFonts w:hint="eastAsia" w:ascii="Times New Roman" w:eastAsia="仿宋_GB2312"/>
          <w:sz w:val="32"/>
        </w:rPr>
        <w:t>数量指标下设</w:t>
      </w:r>
      <w:r>
        <w:rPr>
          <w:rFonts w:hint="eastAsia" w:ascii="Times New Roman" w:eastAsia="仿宋_GB2312"/>
          <w:sz w:val="32"/>
          <w:lang w:val="en-US" w:eastAsia="zh-CN"/>
        </w:rPr>
        <w:t>2</w:t>
      </w:r>
      <w:r>
        <w:rPr>
          <w:rFonts w:hint="eastAsia" w:ascii="Times New Roman" w:eastAsia="仿宋_GB2312"/>
          <w:sz w:val="32"/>
        </w:rPr>
        <w:t>个三级指标，</w:t>
      </w:r>
      <w:r>
        <w:rPr>
          <w:rFonts w:hint="eastAsia" w:ascii="Times New Roman" w:hAnsi="宋体" w:eastAsia="仿宋_GB2312"/>
          <w:sz w:val="32"/>
          <w:szCs w:val="28"/>
          <w:highlight w:val="none"/>
        </w:rPr>
        <w:t>指标</w:t>
      </w:r>
      <w:r>
        <w:rPr>
          <w:rFonts w:hint="eastAsia" w:ascii="Times New Roman" w:hAnsi="宋体" w:eastAsia="仿宋_GB2312"/>
          <w:sz w:val="32"/>
          <w:szCs w:val="28"/>
          <w:highlight w:val="none"/>
          <w:lang w:val="en-US" w:eastAsia="zh-CN"/>
        </w:rPr>
        <w:t>分值12</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val="en-US" w:eastAsia="zh-CN"/>
        </w:rPr>
        <w:t>12</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hAnsi="宋体" w:eastAsia="仿宋_GB2312"/>
          <w:sz w:val="32"/>
          <w:szCs w:val="28"/>
          <w:lang w:val="en-US" w:eastAsia="zh-CN"/>
        </w:rPr>
      </w:pPr>
      <w:r>
        <w:rPr>
          <w:rFonts w:hint="eastAsia" w:ascii="Times New Roman" w:hAnsi="宋体" w:eastAsia="仿宋_GB2312"/>
          <w:b/>
          <w:bCs/>
          <w:sz w:val="32"/>
          <w:szCs w:val="28"/>
          <w:lang w:val="en-US" w:eastAsia="zh-CN"/>
        </w:rPr>
        <w:t>受理各项案件：</w:t>
      </w:r>
      <w:r>
        <w:rPr>
          <w:rFonts w:hint="eastAsia" w:ascii="Times New Roman" w:hAnsi="宋体" w:eastAsia="仿宋_GB2312" w:cstheme="minorBidi"/>
          <w:b w:val="0"/>
          <w:bCs w:val="0"/>
          <w:kern w:val="2"/>
          <w:sz w:val="32"/>
          <w:szCs w:val="28"/>
          <w:lang w:val="en-US" w:eastAsia="zh-CN" w:bidi="ar-SA"/>
        </w:rPr>
        <w:t>年度目标&gt;=3000件，实际完成3816件，</w:t>
      </w:r>
      <w:r>
        <w:rPr>
          <w:rFonts w:hint="eastAsia" w:ascii="Times New Roman" w:hAnsi="宋体" w:eastAsia="仿宋_GB2312"/>
          <w:sz w:val="32"/>
          <w:szCs w:val="28"/>
        </w:rPr>
        <w:t>该指标分值</w:t>
      </w:r>
      <w:r>
        <w:rPr>
          <w:rFonts w:hint="eastAsia" w:ascii="Times New Roman" w:hAnsi="宋体" w:eastAsia="仿宋_GB2312"/>
          <w:sz w:val="32"/>
          <w:szCs w:val="28"/>
          <w:lang w:val="en-US" w:eastAsia="zh-CN"/>
        </w:rPr>
        <w:t>6</w:t>
      </w:r>
      <w:r>
        <w:rPr>
          <w:rFonts w:hint="eastAsia" w:ascii="Times New Roman" w:hAnsi="宋体" w:eastAsia="仿宋_GB2312"/>
          <w:sz w:val="32"/>
          <w:szCs w:val="28"/>
        </w:rPr>
        <w:t>分，自评得分为</w:t>
      </w:r>
      <w:r>
        <w:rPr>
          <w:rFonts w:hint="eastAsia" w:ascii="Times New Roman" w:hAnsi="宋体" w:eastAsia="仿宋_GB2312"/>
          <w:sz w:val="32"/>
          <w:szCs w:val="28"/>
          <w:lang w:val="en-US" w:eastAsia="zh-CN"/>
        </w:rPr>
        <w:t>6</w:t>
      </w:r>
      <w:r>
        <w:rPr>
          <w:rFonts w:hint="eastAsia" w:ascii="Times New Roman" w:hAnsi="宋体" w:eastAsia="仿宋_GB2312"/>
          <w:sz w:val="32"/>
          <w:szCs w:val="28"/>
        </w:rPr>
        <w:t>分，得分率为</w:t>
      </w:r>
      <w:r>
        <w:rPr>
          <w:rFonts w:hint="eastAsia" w:ascii="Times New Roman" w:hAnsi="宋体" w:eastAsia="仿宋_GB2312"/>
          <w:sz w:val="32"/>
          <w:szCs w:val="28"/>
          <w:lang w:val="en-US" w:eastAsia="zh-CN"/>
        </w:rPr>
        <w:t>100</w:t>
      </w:r>
      <w:r>
        <w:rPr>
          <w:rFonts w:hint="eastAsia" w:ascii="Times New Roman" w:hAnsi="宋体" w:eastAsia="仿宋_GB2312"/>
          <w:sz w:val="32"/>
          <w:szCs w:val="28"/>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hAnsi="宋体" w:eastAsia="仿宋_GB2312"/>
          <w:sz w:val="32"/>
          <w:szCs w:val="28"/>
          <w:lang w:val="en-US" w:eastAsia="zh-CN"/>
        </w:rPr>
      </w:pPr>
      <w:r>
        <w:rPr>
          <w:rFonts w:hint="eastAsia" w:ascii="Times New Roman" w:hAnsi="宋体" w:eastAsia="仿宋_GB2312"/>
          <w:b/>
          <w:bCs/>
          <w:sz w:val="32"/>
          <w:szCs w:val="28"/>
          <w:lang w:val="en-US" w:eastAsia="zh-CN"/>
        </w:rPr>
        <w:t>业务培训人次：</w:t>
      </w:r>
      <w:r>
        <w:rPr>
          <w:rFonts w:hint="eastAsia" w:ascii="Times New Roman" w:hAnsi="宋体" w:eastAsia="仿宋_GB2312" w:cstheme="minorBidi"/>
          <w:b w:val="0"/>
          <w:bCs w:val="0"/>
          <w:kern w:val="2"/>
          <w:sz w:val="32"/>
          <w:szCs w:val="28"/>
          <w:lang w:val="en-US" w:eastAsia="zh-CN" w:bidi="ar-SA"/>
        </w:rPr>
        <w:t>年度目标&gt;=3人，实际完成3人，</w:t>
      </w:r>
      <w:r>
        <w:rPr>
          <w:rFonts w:hint="eastAsia" w:ascii="Times New Roman" w:hAnsi="宋体" w:eastAsia="仿宋_GB2312"/>
          <w:sz w:val="32"/>
          <w:szCs w:val="28"/>
        </w:rPr>
        <w:t>该指标分值</w:t>
      </w:r>
      <w:r>
        <w:rPr>
          <w:rFonts w:hint="eastAsia" w:ascii="Times New Roman" w:hAnsi="宋体" w:eastAsia="仿宋_GB2312"/>
          <w:sz w:val="32"/>
          <w:szCs w:val="28"/>
          <w:lang w:val="en-US" w:eastAsia="zh-CN"/>
        </w:rPr>
        <w:t>6</w:t>
      </w:r>
      <w:r>
        <w:rPr>
          <w:rFonts w:hint="eastAsia" w:ascii="Times New Roman" w:hAnsi="宋体" w:eastAsia="仿宋_GB2312"/>
          <w:sz w:val="32"/>
          <w:szCs w:val="28"/>
        </w:rPr>
        <w:t>分，自评得分为</w:t>
      </w:r>
      <w:r>
        <w:rPr>
          <w:rFonts w:hint="eastAsia" w:ascii="Times New Roman" w:hAnsi="宋体" w:eastAsia="仿宋_GB2312"/>
          <w:sz w:val="32"/>
          <w:szCs w:val="28"/>
          <w:lang w:val="en-US" w:eastAsia="zh-CN"/>
        </w:rPr>
        <w:t>6</w:t>
      </w:r>
      <w:r>
        <w:rPr>
          <w:rFonts w:hint="eastAsia" w:ascii="Times New Roman" w:hAnsi="宋体" w:eastAsia="仿宋_GB2312"/>
          <w:sz w:val="32"/>
          <w:szCs w:val="28"/>
        </w:rPr>
        <w:t>分，得分率为</w:t>
      </w:r>
      <w:r>
        <w:rPr>
          <w:rFonts w:hint="eastAsia" w:ascii="Times New Roman" w:hAnsi="宋体" w:eastAsia="仿宋_GB2312"/>
          <w:sz w:val="32"/>
          <w:szCs w:val="28"/>
          <w:lang w:val="en-US" w:eastAsia="zh-CN"/>
        </w:rPr>
        <w:t>100</w:t>
      </w:r>
      <w:r>
        <w:rPr>
          <w:rFonts w:hint="eastAsia" w:ascii="Times New Roman" w:hAnsi="宋体" w:eastAsia="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rPr>
      </w:pPr>
      <w:r>
        <w:rPr>
          <w:rFonts w:hint="eastAsia" w:ascii="Times New Roman" w:eastAsia="仿宋_GB2312"/>
          <w:b/>
          <w:bCs/>
          <w:sz w:val="32"/>
          <w:lang w:eastAsia="zh-CN"/>
        </w:rPr>
        <w:t>②</w:t>
      </w:r>
      <w:r>
        <w:rPr>
          <w:rFonts w:hint="eastAsia" w:ascii="Times New Roman" w:eastAsia="仿宋_GB2312"/>
          <w:b/>
          <w:bCs/>
          <w:sz w:val="32"/>
        </w:rPr>
        <w:t>质量指标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rPr>
      </w:pPr>
      <w:r>
        <w:rPr>
          <w:rFonts w:hint="eastAsia" w:ascii="Times New Roman" w:eastAsia="仿宋_GB2312"/>
          <w:sz w:val="32"/>
        </w:rPr>
        <w:t>质量指标下设</w:t>
      </w:r>
      <w:r>
        <w:rPr>
          <w:rFonts w:hint="eastAsia" w:ascii="Times New Roman" w:eastAsia="仿宋_GB2312"/>
          <w:sz w:val="32"/>
          <w:lang w:val="en-US" w:eastAsia="zh-CN"/>
        </w:rPr>
        <w:t>2</w:t>
      </w:r>
      <w:r>
        <w:rPr>
          <w:rFonts w:hint="eastAsia" w:ascii="Times New Roman" w:eastAsia="仿宋_GB2312"/>
          <w:sz w:val="32"/>
        </w:rPr>
        <w:t>个三级指标，指标</w:t>
      </w:r>
      <w:r>
        <w:rPr>
          <w:rFonts w:hint="eastAsia" w:ascii="Times New Roman" w:eastAsia="仿宋_GB2312"/>
          <w:sz w:val="32"/>
          <w:lang w:val="en-US" w:eastAsia="zh-CN"/>
        </w:rPr>
        <w:t>分值12</w:t>
      </w:r>
      <w:r>
        <w:rPr>
          <w:rFonts w:hint="eastAsia" w:ascii="Times New Roman" w:eastAsia="仿宋_GB2312"/>
          <w:sz w:val="32"/>
        </w:rPr>
        <w:t>分，自评得分</w:t>
      </w:r>
      <w:r>
        <w:rPr>
          <w:rFonts w:hint="eastAsia" w:ascii="Times New Roman" w:eastAsia="仿宋_GB2312"/>
          <w:sz w:val="32"/>
          <w:lang w:val="en-US" w:eastAsia="zh-CN"/>
        </w:rPr>
        <w:t>12</w:t>
      </w:r>
      <w:r>
        <w:rPr>
          <w:rFonts w:hint="eastAsia" w:ascii="Times New Roman" w:eastAsia="仿宋_GB2312"/>
          <w:sz w:val="32"/>
        </w:rPr>
        <w:t>分，得分率为</w:t>
      </w:r>
      <w:r>
        <w:rPr>
          <w:rFonts w:hint="eastAsia" w:ascii="Times New Roman" w:eastAsia="仿宋_GB2312"/>
          <w:sz w:val="32"/>
          <w:lang w:val="en-US" w:eastAsia="zh-CN"/>
        </w:rPr>
        <w:t>100%</w:t>
      </w:r>
      <w:r>
        <w:rPr>
          <w:rFonts w:hint="eastAsia" w:ascii="Times New Roman" w:eastAsia="仿宋_GB2312"/>
          <w:sz w:val="32"/>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cstheme="minorBidi"/>
          <w:b w:val="0"/>
          <w:bCs w:val="0"/>
          <w:kern w:val="2"/>
          <w:sz w:val="32"/>
          <w:szCs w:val="28"/>
          <w:lang w:val="en-US" w:eastAsia="zh-CN" w:bidi="ar-SA"/>
        </w:rPr>
      </w:pPr>
      <w:r>
        <w:rPr>
          <w:rFonts w:hint="eastAsia" w:ascii="Times New Roman" w:eastAsia="仿宋_GB2312"/>
          <w:b/>
          <w:bCs/>
          <w:sz w:val="32"/>
          <w:lang w:val="en-US" w:eastAsia="zh-CN"/>
        </w:rPr>
        <w:t>结案率：</w:t>
      </w:r>
      <w:r>
        <w:rPr>
          <w:rFonts w:hint="eastAsia" w:ascii="Times New Roman" w:eastAsia="仿宋_GB2312"/>
          <w:b w:val="0"/>
          <w:bCs w:val="0"/>
          <w:sz w:val="32"/>
          <w:lang w:val="en-US" w:eastAsia="zh-CN"/>
        </w:rPr>
        <w:t>年度目标=90%，实际完成97.75%，达到目标值，</w:t>
      </w:r>
      <w:r>
        <w:rPr>
          <w:rFonts w:hint="eastAsia" w:ascii="Times New Roman" w:hAnsi="宋体" w:eastAsia="仿宋_GB2312"/>
          <w:b w:val="0"/>
          <w:bCs w:val="0"/>
          <w:sz w:val="32"/>
          <w:szCs w:val="28"/>
        </w:rPr>
        <w:t>该指标分值</w:t>
      </w:r>
      <w:r>
        <w:rPr>
          <w:rFonts w:hint="eastAsia" w:ascii="Times New Roman" w:hAnsi="宋体" w:eastAsia="仿宋_GB2312"/>
          <w:b w:val="0"/>
          <w:bCs w:val="0"/>
          <w:sz w:val="32"/>
          <w:szCs w:val="28"/>
          <w:lang w:val="en-US" w:eastAsia="zh-CN"/>
        </w:rPr>
        <w:t>6</w:t>
      </w:r>
      <w:r>
        <w:rPr>
          <w:rFonts w:hint="eastAsia" w:ascii="Times New Roman" w:hAnsi="宋体" w:eastAsia="仿宋_GB2312"/>
          <w:b w:val="0"/>
          <w:bCs w:val="0"/>
          <w:sz w:val="32"/>
          <w:szCs w:val="28"/>
        </w:rPr>
        <w:t>分，自评得分为</w:t>
      </w:r>
      <w:r>
        <w:rPr>
          <w:rFonts w:hint="eastAsia" w:ascii="Times New Roman" w:hAnsi="宋体" w:eastAsia="仿宋_GB2312"/>
          <w:b w:val="0"/>
          <w:bCs w:val="0"/>
          <w:sz w:val="32"/>
          <w:szCs w:val="28"/>
          <w:lang w:val="en-US" w:eastAsia="zh-CN"/>
        </w:rPr>
        <w:t>6</w:t>
      </w:r>
      <w:r>
        <w:rPr>
          <w:rFonts w:hint="eastAsia" w:ascii="Times New Roman" w:hAnsi="宋体" w:eastAsia="仿宋_GB2312"/>
          <w:b w:val="0"/>
          <w:bCs w:val="0"/>
          <w:sz w:val="32"/>
          <w:szCs w:val="28"/>
        </w:rPr>
        <w:t>分，得分率为</w:t>
      </w:r>
      <w:r>
        <w:rPr>
          <w:rFonts w:hint="eastAsia" w:ascii="Times New Roman" w:hAnsi="宋体" w:eastAsia="仿宋_GB2312"/>
          <w:b w:val="0"/>
          <w:bCs w:val="0"/>
          <w:sz w:val="32"/>
          <w:szCs w:val="28"/>
          <w:lang w:val="en-US" w:eastAsia="zh-CN"/>
        </w:rPr>
        <w:t>100</w:t>
      </w:r>
      <w:r>
        <w:rPr>
          <w:rFonts w:hint="eastAsia" w:ascii="Times New Roman" w:hAnsi="宋体" w:eastAsia="仿宋_GB2312"/>
          <w:b w:val="0"/>
          <w:bCs w:val="0"/>
          <w:sz w:val="32"/>
          <w:szCs w:val="28"/>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eastAsia="仿宋_GB2312"/>
          <w:sz w:val="32"/>
          <w:lang w:val="en-US" w:eastAsia="zh-CN"/>
        </w:rPr>
      </w:pPr>
      <w:r>
        <w:rPr>
          <w:rFonts w:hint="default" w:ascii="Times New Roman" w:eastAsia="仿宋_GB2312"/>
          <w:b/>
          <w:bCs/>
          <w:sz w:val="32"/>
          <w:lang w:val="en-US" w:eastAsia="zh-CN"/>
        </w:rPr>
        <w:t>人员培训合格率</w:t>
      </w:r>
      <w:r>
        <w:rPr>
          <w:rFonts w:hint="eastAsia" w:ascii="Times New Roman" w:eastAsia="仿宋_GB2312"/>
          <w:b/>
          <w:bCs/>
          <w:sz w:val="32"/>
          <w:lang w:val="en-US" w:eastAsia="zh-CN"/>
        </w:rPr>
        <w:t>：</w:t>
      </w:r>
      <w:r>
        <w:rPr>
          <w:rFonts w:hint="eastAsia" w:ascii="Times New Roman" w:eastAsia="仿宋_GB2312"/>
          <w:sz w:val="32"/>
          <w:lang w:val="en-US" w:eastAsia="zh-CN"/>
        </w:rPr>
        <w:t>我院高度重视人员能力的培养，在人员培训方面，严格展开培训活动，为法院的长期发展储备优秀人才，不断完善人员培训机制，强化岗位练兵活动，积极加强干警业务能力水平的提升。</w:t>
      </w:r>
      <w:r>
        <w:rPr>
          <w:rFonts w:hint="eastAsia" w:ascii="Times New Roman" w:eastAsia="仿宋_GB2312"/>
          <w:sz w:val="32"/>
        </w:rPr>
        <w:t>该指标分值</w:t>
      </w:r>
      <w:r>
        <w:rPr>
          <w:rFonts w:hint="eastAsia" w:ascii="Times New Roman" w:eastAsia="仿宋_GB2312"/>
          <w:sz w:val="32"/>
          <w:lang w:val="en-US" w:eastAsia="zh-CN"/>
        </w:rPr>
        <w:t>6</w:t>
      </w:r>
      <w:r>
        <w:rPr>
          <w:rFonts w:hint="eastAsia" w:ascii="Times New Roman" w:eastAsia="仿宋_GB2312"/>
          <w:sz w:val="32"/>
        </w:rPr>
        <w:t>分，自评得分为</w:t>
      </w:r>
      <w:r>
        <w:rPr>
          <w:rFonts w:hint="eastAsia" w:ascii="Times New Roman" w:eastAsia="仿宋_GB2312"/>
          <w:sz w:val="32"/>
          <w:lang w:val="en-US" w:eastAsia="zh-CN"/>
        </w:rPr>
        <w:t>6</w:t>
      </w:r>
      <w:r>
        <w:rPr>
          <w:rFonts w:hint="eastAsia" w:ascii="Times New Roman" w:eastAsia="仿宋_GB2312"/>
          <w:sz w:val="32"/>
        </w:rPr>
        <w:t>分，得分率为</w:t>
      </w:r>
      <w:r>
        <w:rPr>
          <w:rFonts w:hint="eastAsia" w:ascii="Times New Roman" w:eastAsia="仿宋_GB2312"/>
          <w:sz w:val="32"/>
          <w:lang w:val="en-US" w:eastAsia="zh-CN"/>
        </w:rPr>
        <w:t>100</w:t>
      </w:r>
      <w:r>
        <w:rPr>
          <w:rFonts w:hint="eastAsia" w:ascii="Times New Roman" w:eastAsia="仿宋_GB2312"/>
          <w:sz w:val="32"/>
        </w:rPr>
        <w:t>%。</w:t>
      </w:r>
    </w:p>
    <w:p>
      <w:pPr>
        <w:pStyle w:val="9"/>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Calibri" w:eastAsia="仿宋_GB2312" w:cs="Calibri"/>
          <w:b/>
          <w:bCs/>
          <w:kern w:val="2"/>
          <w:sz w:val="32"/>
          <w:szCs w:val="28"/>
          <w:lang w:val="en-US" w:eastAsia="zh-CN" w:bidi="ar-SA"/>
        </w:rPr>
      </w:pPr>
      <w:r>
        <w:rPr>
          <w:rFonts w:hint="eastAsia" w:ascii="Times New Roman" w:hAnsi="Calibri" w:eastAsia="仿宋_GB2312" w:cs="Calibri"/>
          <w:b/>
          <w:bCs/>
          <w:kern w:val="2"/>
          <w:sz w:val="32"/>
          <w:szCs w:val="28"/>
          <w:lang w:val="en-US" w:eastAsia="zh-CN" w:bidi="ar-SA"/>
        </w:rPr>
        <w:t>③时效指标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highlight w:val="none"/>
          <w:lang w:val="en-US" w:eastAsia="zh-CN"/>
        </w:rPr>
      </w:pPr>
      <w:r>
        <w:rPr>
          <w:rFonts w:hint="eastAsia" w:ascii="Times New Roman" w:eastAsia="仿宋_GB2312"/>
          <w:sz w:val="32"/>
          <w:lang w:eastAsia="zh-CN"/>
        </w:rPr>
        <w:t>时效</w:t>
      </w:r>
      <w:r>
        <w:rPr>
          <w:rFonts w:hint="eastAsia" w:ascii="Times New Roman" w:eastAsia="仿宋_GB2312"/>
          <w:sz w:val="32"/>
        </w:rPr>
        <w:t>指标下设</w:t>
      </w:r>
      <w:r>
        <w:rPr>
          <w:rFonts w:hint="eastAsia" w:ascii="Times New Roman" w:eastAsia="仿宋_GB2312"/>
          <w:sz w:val="32"/>
          <w:lang w:val="en-US" w:eastAsia="zh-CN"/>
        </w:rPr>
        <w:t>2</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分值11</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val="en-US" w:eastAsia="zh-CN"/>
        </w:rPr>
        <w:t>11</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bCs/>
          <w:sz w:val="32"/>
        </w:rPr>
      </w:pPr>
      <w:r>
        <w:rPr>
          <w:rFonts w:hint="eastAsia" w:ascii="Times New Roman" w:hAnsi="仿宋_GB2312" w:eastAsia="仿宋_GB2312" w:cstheme="minorBidi"/>
          <w:b/>
          <w:bCs/>
          <w:kern w:val="2"/>
          <w:sz w:val="32"/>
          <w:szCs w:val="28"/>
          <w:highlight w:val="none"/>
          <w:lang w:val="en-US" w:eastAsia="zh-CN" w:bidi="ar-SA"/>
        </w:rPr>
        <w:t>案件法定期限内办结数量</w:t>
      </w:r>
      <w:r>
        <w:rPr>
          <w:rFonts w:hint="eastAsia" w:ascii="Times New Roman" w:eastAsia="仿宋_GB2312" w:cstheme="minorBidi"/>
          <w:b/>
          <w:bCs/>
          <w:kern w:val="2"/>
          <w:sz w:val="32"/>
          <w:szCs w:val="28"/>
          <w:highlight w:val="none"/>
          <w:lang w:val="en-US" w:eastAsia="zh-CN" w:bidi="ar-SA"/>
        </w:rPr>
        <w:t>：</w:t>
      </w:r>
      <w:r>
        <w:rPr>
          <w:rFonts w:hint="eastAsia" w:ascii="Times New Roman" w:eastAsia="仿宋_GB2312"/>
          <w:sz w:val="32"/>
          <w:lang w:val="en-US" w:eastAsia="zh-CN"/>
        </w:rPr>
        <w:t>各项审判执行质效指标持续保持高位运行</w:t>
      </w:r>
      <w:r>
        <w:rPr>
          <w:rFonts w:hint="eastAsia" w:ascii="Times New Roman"/>
          <w:sz w:val="32"/>
          <w:lang w:val="en-US" w:eastAsia="zh-CN"/>
        </w:rPr>
        <w:t>，</w:t>
      </w:r>
      <w:r>
        <w:rPr>
          <w:rFonts w:hint="eastAsia" w:ascii="Times New Roman" w:hAnsi="宋体" w:eastAsia="仿宋_GB2312" w:cstheme="minorBidi"/>
          <w:b w:val="0"/>
          <w:bCs w:val="0"/>
          <w:kern w:val="2"/>
          <w:sz w:val="32"/>
          <w:szCs w:val="28"/>
          <w:lang w:val="en-US" w:eastAsia="zh-CN" w:bidi="ar-SA"/>
        </w:rPr>
        <w:t>达到年度指标值。</w:t>
      </w:r>
      <w:r>
        <w:rPr>
          <w:rFonts w:hint="eastAsia" w:ascii="Times New Roman" w:hAnsi="宋体" w:eastAsia="仿宋_GB2312"/>
          <w:sz w:val="32"/>
          <w:szCs w:val="28"/>
        </w:rPr>
        <w:t>该指标分值</w:t>
      </w:r>
      <w:r>
        <w:rPr>
          <w:rFonts w:hint="eastAsia" w:ascii="Times New Roman" w:hAnsi="宋体" w:eastAsia="仿宋_GB2312"/>
          <w:sz w:val="32"/>
          <w:szCs w:val="28"/>
          <w:lang w:val="en-US" w:eastAsia="zh-CN"/>
        </w:rPr>
        <w:t>6</w:t>
      </w:r>
      <w:r>
        <w:rPr>
          <w:rFonts w:hint="eastAsia" w:ascii="Times New Roman" w:hAnsi="宋体" w:eastAsia="仿宋_GB2312"/>
          <w:sz w:val="32"/>
          <w:szCs w:val="28"/>
        </w:rPr>
        <w:t>分，自评得分为</w:t>
      </w:r>
      <w:r>
        <w:rPr>
          <w:rFonts w:hint="eastAsia" w:ascii="Times New Roman" w:hAnsi="宋体" w:eastAsia="仿宋_GB2312"/>
          <w:sz w:val="32"/>
          <w:szCs w:val="28"/>
          <w:lang w:val="en-US" w:eastAsia="zh-CN"/>
        </w:rPr>
        <w:t>6</w:t>
      </w:r>
      <w:r>
        <w:rPr>
          <w:rFonts w:hint="eastAsia" w:ascii="Times New Roman" w:hAnsi="宋体" w:eastAsia="仿宋_GB2312"/>
          <w:sz w:val="32"/>
          <w:szCs w:val="28"/>
        </w:rPr>
        <w:t>分，得分率为</w:t>
      </w:r>
      <w:r>
        <w:rPr>
          <w:rFonts w:hint="eastAsia" w:ascii="Times New Roman" w:hAnsi="宋体" w:eastAsia="仿宋_GB2312"/>
          <w:sz w:val="32"/>
          <w:szCs w:val="28"/>
          <w:lang w:val="en-US" w:eastAsia="zh-CN"/>
        </w:rPr>
        <w:t>100</w:t>
      </w:r>
      <w:r>
        <w:rPr>
          <w:rFonts w:hint="eastAsia" w:ascii="Times New Roman" w:hAnsi="宋体" w:eastAsia="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sz w:val="32"/>
          <w:szCs w:val="28"/>
        </w:rPr>
      </w:pPr>
      <w:r>
        <w:rPr>
          <w:rFonts w:hint="eastAsia" w:ascii="Times New Roman" w:hAnsi="仿宋_GB2312" w:eastAsia="仿宋_GB2312" w:cstheme="minorBidi"/>
          <w:b/>
          <w:bCs/>
          <w:kern w:val="2"/>
          <w:sz w:val="32"/>
          <w:szCs w:val="28"/>
          <w:highlight w:val="none"/>
          <w:lang w:val="en-US" w:eastAsia="zh-CN" w:bidi="ar-SA"/>
        </w:rPr>
        <w:t>法律判决有效性</w:t>
      </w:r>
      <w:r>
        <w:rPr>
          <w:rFonts w:hint="eastAsia" w:ascii="Times New Roman" w:eastAsia="仿宋_GB2312" w:cstheme="minorBidi"/>
          <w:b/>
          <w:bCs/>
          <w:kern w:val="2"/>
          <w:sz w:val="32"/>
          <w:szCs w:val="28"/>
          <w:highlight w:val="none"/>
          <w:lang w:val="en-US" w:eastAsia="zh-CN" w:bidi="ar-SA"/>
        </w:rPr>
        <w:t>：</w:t>
      </w:r>
      <w:r>
        <w:rPr>
          <w:rFonts w:hint="eastAsia" w:ascii="Times New Roman" w:eastAsia="仿宋_GB2312" w:cstheme="minorBidi"/>
          <w:b w:val="0"/>
          <w:bCs w:val="0"/>
          <w:kern w:val="2"/>
          <w:sz w:val="32"/>
          <w:szCs w:val="28"/>
          <w:highlight w:val="none"/>
          <w:lang w:val="en-US" w:eastAsia="zh-CN" w:bidi="ar-SA"/>
        </w:rPr>
        <w:t>2022年我院所有法律判决均真实有效，达到年度指标。</w:t>
      </w:r>
      <w:r>
        <w:rPr>
          <w:rFonts w:hint="eastAsia" w:ascii="Times New Roman" w:hAnsi="宋体" w:eastAsia="仿宋_GB2312"/>
          <w:b w:val="0"/>
          <w:bCs w:val="0"/>
          <w:sz w:val="32"/>
          <w:szCs w:val="28"/>
        </w:rPr>
        <w:t>该指标分值</w:t>
      </w:r>
      <w:r>
        <w:rPr>
          <w:rFonts w:hint="eastAsia" w:ascii="Times New Roman" w:hAnsi="宋体" w:eastAsia="仿宋_GB2312"/>
          <w:b w:val="0"/>
          <w:bCs w:val="0"/>
          <w:sz w:val="32"/>
          <w:szCs w:val="28"/>
          <w:lang w:val="en-US" w:eastAsia="zh-CN"/>
        </w:rPr>
        <w:t>5</w:t>
      </w:r>
      <w:r>
        <w:rPr>
          <w:rFonts w:hint="eastAsia" w:ascii="Times New Roman" w:hAnsi="宋体" w:eastAsia="仿宋_GB2312"/>
          <w:sz w:val="32"/>
          <w:szCs w:val="28"/>
        </w:rPr>
        <w:t>分，自评得分为</w:t>
      </w:r>
      <w:r>
        <w:rPr>
          <w:rFonts w:hint="eastAsia" w:ascii="Times New Roman" w:hAnsi="宋体" w:eastAsia="仿宋_GB2312"/>
          <w:sz w:val="32"/>
          <w:szCs w:val="28"/>
          <w:lang w:val="en-US" w:eastAsia="zh-CN"/>
        </w:rPr>
        <w:t>5</w:t>
      </w:r>
      <w:r>
        <w:rPr>
          <w:rFonts w:hint="eastAsia" w:ascii="Times New Roman" w:hAnsi="宋体" w:eastAsia="仿宋_GB2312"/>
          <w:sz w:val="32"/>
          <w:szCs w:val="28"/>
        </w:rPr>
        <w:t>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bCs/>
          <w:sz w:val="32"/>
          <w:lang w:val="en-US" w:eastAsia="zh-CN"/>
        </w:rPr>
      </w:pPr>
      <w:r>
        <w:rPr>
          <w:rFonts w:hint="eastAsia" w:ascii="Times New Roman" w:eastAsia="仿宋_GB2312"/>
          <w:b/>
          <w:bCs/>
          <w:sz w:val="32"/>
          <w:lang w:val="en-US" w:eastAsia="zh-CN"/>
        </w:rPr>
        <w:t>④成本指标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lang w:val="en-US" w:eastAsia="zh-CN"/>
        </w:rPr>
      </w:pPr>
      <w:r>
        <w:rPr>
          <w:rFonts w:hint="eastAsia" w:ascii="Times New Roman" w:eastAsia="仿宋_GB2312"/>
          <w:sz w:val="32"/>
          <w:lang w:eastAsia="zh-CN"/>
        </w:rPr>
        <w:t>成本</w:t>
      </w:r>
      <w:r>
        <w:rPr>
          <w:rFonts w:hint="eastAsia" w:ascii="Times New Roman" w:eastAsia="仿宋_GB2312"/>
          <w:sz w:val="32"/>
        </w:rPr>
        <w:t>指标下设</w:t>
      </w:r>
      <w:r>
        <w:rPr>
          <w:rFonts w:hint="eastAsia" w:ascii="Times New Roman" w:eastAsia="仿宋_GB2312"/>
          <w:sz w:val="32"/>
          <w:lang w:val="en-US" w:eastAsia="zh-CN"/>
        </w:rPr>
        <w:t>2</w:t>
      </w:r>
      <w:r>
        <w:rPr>
          <w:rFonts w:hint="eastAsia" w:ascii="Times New Roman" w:eastAsia="仿宋_GB2312"/>
          <w:sz w:val="32"/>
        </w:rPr>
        <w:t>个三级指标，指标</w:t>
      </w:r>
      <w:r>
        <w:rPr>
          <w:rFonts w:hint="eastAsia" w:ascii="Times New Roman" w:eastAsia="仿宋_GB2312"/>
          <w:sz w:val="32"/>
          <w:lang w:val="en-US" w:eastAsia="zh-CN"/>
        </w:rPr>
        <w:t>分值10</w:t>
      </w:r>
      <w:r>
        <w:rPr>
          <w:rFonts w:hint="eastAsia" w:ascii="Times New Roman" w:eastAsia="仿宋_GB2312"/>
          <w:sz w:val="32"/>
        </w:rPr>
        <w:t>分，自评得分</w:t>
      </w:r>
      <w:r>
        <w:rPr>
          <w:rFonts w:hint="eastAsia" w:ascii="Times New Roman" w:eastAsia="仿宋_GB2312"/>
          <w:sz w:val="32"/>
          <w:lang w:val="en-US" w:eastAsia="zh-CN"/>
        </w:rPr>
        <w:t>10</w:t>
      </w:r>
      <w:r>
        <w:rPr>
          <w:rFonts w:hint="eastAsia" w:ascii="Times New Roman" w:eastAsia="仿宋_GB2312"/>
          <w:sz w:val="32"/>
        </w:rPr>
        <w:t>分，得分率为</w:t>
      </w:r>
      <w:r>
        <w:rPr>
          <w:rFonts w:hint="eastAsia" w:ascii="Times New Roman" w:eastAsia="仿宋_GB2312"/>
          <w:sz w:val="32"/>
          <w:lang w:val="en-US" w:eastAsia="zh-CN"/>
        </w:rPr>
        <w:t>100</w:t>
      </w:r>
      <w:r>
        <w:rPr>
          <w:rFonts w:hint="eastAsia" w:ascii="Times New Roman" w:eastAsia="仿宋_GB2312"/>
          <w:sz w:val="32"/>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sz w:val="32"/>
          <w:szCs w:val="28"/>
          <w:highlight w:val="none"/>
        </w:rPr>
      </w:pPr>
      <w:r>
        <w:rPr>
          <w:rFonts w:hint="eastAsia" w:ascii="Times New Roman" w:hAnsi="宋体" w:eastAsia="仿宋_GB2312" w:cstheme="minorBidi"/>
          <w:b/>
          <w:bCs/>
          <w:kern w:val="2"/>
          <w:sz w:val="32"/>
          <w:szCs w:val="28"/>
          <w:lang w:val="en-US" w:eastAsia="zh-CN" w:bidi="ar-SA"/>
        </w:rPr>
        <w:t>办案业务费控制率：</w:t>
      </w:r>
      <w:r>
        <w:rPr>
          <w:rFonts w:hint="eastAsia" w:ascii="Times New Roman" w:hAnsi="宋体" w:eastAsia="仿宋_GB2312"/>
          <w:sz w:val="32"/>
          <w:szCs w:val="28"/>
          <w:lang w:val="en-US" w:eastAsia="zh-CN"/>
        </w:rPr>
        <w:t>我院业务费</w:t>
      </w:r>
      <w:r>
        <w:rPr>
          <w:rFonts w:hint="eastAsia" w:ascii="Times New Roman" w:hAnsi="宋体" w:eastAsia="仿宋_GB2312"/>
          <w:sz w:val="32"/>
          <w:szCs w:val="28"/>
        </w:rPr>
        <w:t>全年预算数</w:t>
      </w:r>
      <w:r>
        <w:rPr>
          <w:rFonts w:hint="eastAsia" w:ascii="Times New Roman" w:hAnsi="宋体" w:eastAsia="仿宋_GB2312"/>
          <w:sz w:val="32"/>
          <w:szCs w:val="28"/>
          <w:lang w:eastAsia="zh-CN"/>
        </w:rPr>
        <w:t>和</w:t>
      </w:r>
      <w:r>
        <w:rPr>
          <w:rFonts w:hint="eastAsia" w:ascii="Times New Roman" w:hAnsi="宋体" w:eastAsia="仿宋_GB2312"/>
          <w:sz w:val="32"/>
          <w:szCs w:val="28"/>
        </w:rPr>
        <w:t>实际支出数</w:t>
      </w:r>
      <w:r>
        <w:rPr>
          <w:rFonts w:hint="eastAsia" w:ascii="Times New Roman" w:hAnsi="宋体" w:eastAsia="仿宋_GB2312"/>
          <w:sz w:val="32"/>
          <w:szCs w:val="28"/>
          <w:lang w:eastAsia="zh-CN"/>
        </w:rPr>
        <w:t>均</w:t>
      </w:r>
      <w:r>
        <w:rPr>
          <w:rFonts w:hint="eastAsia" w:ascii="Times New Roman" w:hAnsi="宋体" w:eastAsia="仿宋_GB2312"/>
          <w:sz w:val="32"/>
          <w:szCs w:val="28"/>
        </w:rPr>
        <w:t>为</w:t>
      </w:r>
      <w:r>
        <w:rPr>
          <w:rFonts w:hint="eastAsia" w:ascii="Times New Roman" w:hAnsi="宋体" w:eastAsia="仿宋_GB2312"/>
          <w:sz w:val="32"/>
          <w:szCs w:val="28"/>
          <w:lang w:val="en-US" w:eastAsia="zh-CN"/>
        </w:rPr>
        <w:t>135.91</w:t>
      </w:r>
      <w:r>
        <w:rPr>
          <w:rFonts w:hint="eastAsia" w:ascii="Times New Roman" w:hAnsi="宋体" w:eastAsia="仿宋_GB2312"/>
          <w:sz w:val="32"/>
          <w:szCs w:val="28"/>
        </w:rPr>
        <w:t>万元，</w:t>
      </w:r>
      <w:r>
        <w:rPr>
          <w:rFonts w:hint="eastAsia" w:ascii="Times New Roman" w:hAnsi="宋体" w:eastAsia="仿宋_GB2312" w:cs="宋体"/>
          <w:kern w:val="0"/>
          <w:sz w:val="32"/>
          <w:szCs w:val="28"/>
          <w:highlight w:val="none"/>
          <w:lang w:eastAsia="zh-CN"/>
        </w:rPr>
        <w:t>成本控制在</w:t>
      </w:r>
      <w:r>
        <w:rPr>
          <w:rFonts w:hint="eastAsia" w:ascii="Times New Roman" w:hAnsi="宋体" w:eastAsia="仿宋_GB2312" w:cs="宋体"/>
          <w:kern w:val="0"/>
          <w:sz w:val="32"/>
          <w:szCs w:val="28"/>
          <w:highlight w:val="none"/>
        </w:rPr>
        <w:t>全年预算数</w:t>
      </w:r>
      <w:r>
        <w:rPr>
          <w:rFonts w:hint="eastAsia" w:ascii="Times New Roman" w:hAnsi="宋体" w:eastAsia="仿宋_GB2312" w:cs="宋体"/>
          <w:kern w:val="0"/>
          <w:sz w:val="32"/>
          <w:szCs w:val="28"/>
          <w:highlight w:val="none"/>
          <w:lang w:eastAsia="zh-CN"/>
        </w:rPr>
        <w:t>以内</w:t>
      </w:r>
      <w:r>
        <w:rPr>
          <w:rFonts w:hint="eastAsia" w:ascii="Times New Roman" w:hAnsi="宋体" w:eastAsia="仿宋_GB2312" w:cs="宋体"/>
          <w:kern w:val="0"/>
          <w:sz w:val="32"/>
          <w:szCs w:val="28"/>
          <w:highlight w:val="none"/>
        </w:rPr>
        <w:t>，</w:t>
      </w:r>
      <w:r>
        <w:rPr>
          <w:rFonts w:hint="eastAsia" w:ascii="Times New Roman" w:hAnsi="宋体" w:eastAsia="仿宋_GB2312" w:cs="宋体"/>
          <w:kern w:val="0"/>
          <w:sz w:val="32"/>
          <w:szCs w:val="28"/>
        </w:rPr>
        <w:t>符合年度指标值的要求。</w:t>
      </w:r>
      <w:r>
        <w:rPr>
          <w:rFonts w:hint="eastAsia" w:ascii="Times New Roman" w:hAnsi="宋体" w:eastAsia="仿宋_GB2312"/>
          <w:sz w:val="32"/>
          <w:szCs w:val="28"/>
        </w:rPr>
        <w:t>该指标分值</w:t>
      </w:r>
      <w:r>
        <w:rPr>
          <w:rFonts w:hint="eastAsia" w:ascii="Times New Roman" w:hAnsi="宋体" w:eastAsia="仿宋_GB2312"/>
          <w:sz w:val="32"/>
          <w:szCs w:val="28"/>
          <w:lang w:val="en-US" w:eastAsia="zh-CN"/>
        </w:rPr>
        <w:t>5</w:t>
      </w:r>
      <w:r>
        <w:rPr>
          <w:rFonts w:hint="eastAsia" w:ascii="Times New Roman" w:hAnsi="宋体" w:eastAsia="仿宋_GB2312"/>
          <w:sz w:val="32"/>
          <w:szCs w:val="28"/>
        </w:rPr>
        <w:t>分，</w:t>
      </w:r>
      <w:r>
        <w:rPr>
          <w:rFonts w:ascii="Times New Roman" w:hAnsi="宋体" w:eastAsia="仿宋_GB2312"/>
          <w:sz w:val="32"/>
          <w:szCs w:val="28"/>
        </w:rPr>
        <w:t>按评价标</w:t>
      </w:r>
      <w:r>
        <w:rPr>
          <w:rFonts w:ascii="Times New Roman" w:hAnsi="宋体" w:eastAsia="仿宋_GB2312"/>
          <w:sz w:val="32"/>
          <w:szCs w:val="28"/>
          <w:highlight w:val="none"/>
        </w:rPr>
        <w:t>准得</w:t>
      </w:r>
      <w:r>
        <w:rPr>
          <w:rFonts w:hint="eastAsia" w:ascii="Times New Roman" w:hAnsi="宋体" w:eastAsia="仿宋_GB2312"/>
          <w:sz w:val="32"/>
          <w:szCs w:val="28"/>
          <w:highlight w:val="none"/>
          <w:lang w:val="en-US" w:eastAsia="zh-CN"/>
        </w:rPr>
        <w:t>5</w:t>
      </w:r>
      <w:r>
        <w:rPr>
          <w:rFonts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ascii="Times New Roman" w:hAnsi="宋体" w:eastAsia="仿宋_GB2312"/>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hAnsi="宋体" w:eastAsia="仿宋_GB2312"/>
          <w:sz w:val="32"/>
          <w:szCs w:val="28"/>
          <w:highlight w:val="none"/>
        </w:rPr>
      </w:pPr>
      <w:r>
        <w:rPr>
          <w:rFonts w:hint="eastAsia" w:ascii="Times New Roman" w:eastAsia="仿宋_GB2312"/>
          <w:b/>
          <w:bCs/>
          <w:sz w:val="32"/>
          <w:lang w:val="en-US" w:eastAsia="zh-CN"/>
        </w:rPr>
        <w:t>购买设备成本控制情况：</w:t>
      </w:r>
      <w:r>
        <w:rPr>
          <w:rFonts w:hint="eastAsia" w:ascii="Times New Roman" w:eastAsia="仿宋_GB2312"/>
          <w:b w:val="0"/>
          <w:bCs w:val="0"/>
          <w:sz w:val="32"/>
          <w:lang w:val="en-US" w:eastAsia="zh-CN"/>
        </w:rPr>
        <w:t>我院购买各类设备成本均控制在定额标准内</w:t>
      </w:r>
      <w:r>
        <w:rPr>
          <w:rFonts w:hint="eastAsia" w:ascii="Times New Roman"/>
          <w:b w:val="0"/>
          <w:bCs w:val="0"/>
          <w:sz w:val="32"/>
          <w:lang w:val="en-US" w:eastAsia="zh-CN"/>
        </w:rPr>
        <w:t>，</w:t>
      </w:r>
      <w:r>
        <w:rPr>
          <w:rFonts w:hint="eastAsia" w:ascii="Times New Roman" w:eastAsia="仿宋_GB2312"/>
          <w:b w:val="0"/>
          <w:bCs w:val="0"/>
          <w:sz w:val="32"/>
          <w:lang w:val="en-US" w:eastAsia="zh-CN"/>
        </w:rPr>
        <w:t>未超标准购买</w:t>
      </w:r>
      <w:r>
        <w:rPr>
          <w:rFonts w:hint="eastAsia" w:ascii="Times New Roman"/>
          <w:b w:val="0"/>
          <w:bCs w:val="0"/>
          <w:sz w:val="32"/>
          <w:lang w:val="en-US" w:eastAsia="zh-CN"/>
        </w:rPr>
        <w:t>，</w:t>
      </w:r>
      <w:r>
        <w:rPr>
          <w:rFonts w:hint="eastAsia" w:ascii="Times New Roman" w:eastAsia="仿宋_GB2312"/>
          <w:b w:val="0"/>
          <w:bCs w:val="0"/>
          <w:sz w:val="32"/>
          <w:lang w:val="en-US" w:eastAsia="zh-CN"/>
        </w:rPr>
        <w:t>达到年度指标值</w:t>
      </w:r>
      <w:r>
        <w:rPr>
          <w:rFonts w:hint="eastAsia" w:ascii="Times New Roman"/>
          <w:b w:val="0"/>
          <w:bCs w:val="0"/>
          <w:sz w:val="32"/>
          <w:lang w:val="en-US" w:eastAsia="zh-CN"/>
        </w:rPr>
        <w:t>。</w:t>
      </w:r>
      <w:r>
        <w:rPr>
          <w:rFonts w:hint="eastAsia" w:ascii="Times New Roman" w:hAnsi="宋体" w:eastAsia="仿宋_GB2312"/>
          <w:b w:val="0"/>
          <w:bCs w:val="0"/>
          <w:sz w:val="32"/>
          <w:szCs w:val="28"/>
        </w:rPr>
        <w:t>该</w:t>
      </w:r>
      <w:r>
        <w:rPr>
          <w:rFonts w:hint="eastAsia" w:ascii="Times New Roman" w:hAnsi="宋体" w:eastAsia="仿宋_GB2312"/>
          <w:sz w:val="32"/>
          <w:szCs w:val="28"/>
        </w:rPr>
        <w:t>指标分值</w:t>
      </w:r>
      <w:r>
        <w:rPr>
          <w:rFonts w:hint="eastAsia" w:ascii="Times New Roman" w:hAnsi="宋体" w:eastAsia="仿宋_GB2312"/>
          <w:sz w:val="32"/>
          <w:szCs w:val="28"/>
          <w:lang w:val="en-US" w:eastAsia="zh-CN"/>
        </w:rPr>
        <w:t>5</w:t>
      </w:r>
      <w:r>
        <w:rPr>
          <w:rFonts w:hint="eastAsia" w:ascii="Times New Roman" w:hAnsi="宋体" w:eastAsia="仿宋_GB2312"/>
          <w:sz w:val="32"/>
          <w:szCs w:val="28"/>
        </w:rPr>
        <w:t>分，</w:t>
      </w:r>
      <w:r>
        <w:rPr>
          <w:rFonts w:ascii="Times New Roman" w:hAnsi="宋体" w:eastAsia="仿宋_GB2312"/>
          <w:sz w:val="32"/>
          <w:szCs w:val="28"/>
        </w:rPr>
        <w:t>按评价标</w:t>
      </w:r>
      <w:r>
        <w:rPr>
          <w:rFonts w:ascii="Times New Roman" w:hAnsi="宋体" w:eastAsia="仿宋_GB2312"/>
          <w:sz w:val="32"/>
          <w:szCs w:val="28"/>
          <w:highlight w:val="none"/>
        </w:rPr>
        <w:t>准得</w:t>
      </w:r>
      <w:r>
        <w:rPr>
          <w:rFonts w:hint="eastAsia" w:ascii="Times New Roman" w:hAnsi="宋体" w:eastAsia="仿宋_GB2312"/>
          <w:sz w:val="32"/>
          <w:szCs w:val="28"/>
          <w:highlight w:val="none"/>
          <w:lang w:val="en-US" w:eastAsia="zh-CN"/>
        </w:rPr>
        <w:t>5</w:t>
      </w:r>
      <w:r>
        <w:rPr>
          <w:rFonts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ascii="Times New Roman" w:hAnsi="宋体" w:eastAsia="仿宋_GB2312"/>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szCs w:val="28"/>
          <w:highlight w:val="none"/>
        </w:rPr>
      </w:pPr>
      <w:r>
        <w:rPr>
          <w:rFonts w:hint="eastAsia" w:ascii="Times New Roman" w:eastAsia="仿宋_GB2312"/>
          <w:b/>
          <w:bCs/>
          <w:sz w:val="32"/>
          <w:szCs w:val="28"/>
          <w:highlight w:val="none"/>
        </w:rPr>
        <w:t>（2）效益指标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szCs w:val="28"/>
        </w:rPr>
      </w:pPr>
      <w:r>
        <w:rPr>
          <w:rFonts w:hint="eastAsia" w:ascii="Times New Roman" w:eastAsia="仿宋_GB2312"/>
          <w:sz w:val="32"/>
          <w:szCs w:val="28"/>
          <w:highlight w:val="none"/>
        </w:rPr>
        <w:t>本项目效益指标主要考虑</w:t>
      </w:r>
      <w:r>
        <w:rPr>
          <w:rFonts w:hint="eastAsia" w:ascii="Times New Roman" w:eastAsia="仿宋_GB2312"/>
          <w:sz w:val="32"/>
          <w:szCs w:val="28"/>
          <w:highlight w:val="none"/>
          <w:lang w:eastAsia="zh-CN"/>
        </w:rPr>
        <w:t>经济</w:t>
      </w:r>
      <w:r>
        <w:rPr>
          <w:rFonts w:hint="eastAsia" w:ascii="Times New Roman" w:eastAsia="仿宋_GB2312"/>
          <w:sz w:val="32"/>
          <w:szCs w:val="28"/>
          <w:lang w:eastAsia="zh-CN"/>
        </w:rPr>
        <w:t>效益、</w:t>
      </w:r>
      <w:r>
        <w:rPr>
          <w:rFonts w:hint="eastAsia" w:ascii="Times New Roman" w:eastAsia="仿宋_GB2312"/>
          <w:sz w:val="32"/>
          <w:szCs w:val="28"/>
        </w:rPr>
        <w:t>社会效益</w:t>
      </w:r>
      <w:r>
        <w:rPr>
          <w:rFonts w:hint="eastAsia" w:ascii="Times New Roman" w:eastAsia="仿宋_GB2312"/>
          <w:sz w:val="32"/>
          <w:szCs w:val="28"/>
          <w:lang w:eastAsia="zh-CN"/>
        </w:rPr>
        <w:t>、</w:t>
      </w:r>
      <w:r>
        <w:rPr>
          <w:rFonts w:hint="eastAsia" w:ascii="Times New Roman" w:eastAsia="仿宋_GB2312"/>
          <w:sz w:val="32"/>
          <w:szCs w:val="28"/>
        </w:rPr>
        <w:t>可持续影响</w:t>
      </w:r>
      <w:r>
        <w:rPr>
          <w:rFonts w:hint="eastAsia" w:ascii="Times New Roman" w:eastAsia="仿宋_GB2312"/>
          <w:sz w:val="32"/>
          <w:szCs w:val="28"/>
          <w:lang w:val="en-US" w:eastAsia="zh-CN"/>
        </w:rPr>
        <w:t>三</w:t>
      </w:r>
      <w:r>
        <w:rPr>
          <w:rFonts w:hint="eastAsia" w:ascii="Times New Roman" w:eastAsia="仿宋_GB2312"/>
          <w:sz w:val="32"/>
          <w:szCs w:val="28"/>
        </w:rPr>
        <w:t>部分。总分值30分，得分</w:t>
      </w:r>
      <w:r>
        <w:rPr>
          <w:rFonts w:hint="eastAsia" w:ascii="Times New Roman" w:eastAsia="仿宋_GB2312"/>
          <w:sz w:val="32"/>
          <w:szCs w:val="28"/>
          <w:lang w:eastAsia="zh-CN"/>
        </w:rPr>
        <w:t>30</w:t>
      </w:r>
      <w:r>
        <w:rPr>
          <w:rFonts w:hint="eastAsia" w:ascii="Times New Roman" w:eastAsia="仿宋_GB2312"/>
          <w:sz w:val="32"/>
          <w:szCs w:val="28"/>
        </w:rPr>
        <w:t>分，得分率</w:t>
      </w:r>
      <w:r>
        <w:rPr>
          <w:rFonts w:hint="eastAsia" w:ascii="Times New Roman"/>
          <w:sz w:val="32"/>
          <w:szCs w:val="28"/>
          <w:lang w:val="en-US" w:eastAsia="zh-CN"/>
        </w:rPr>
        <w:t>为</w:t>
      </w:r>
      <w:r>
        <w:rPr>
          <w:rFonts w:hint="eastAsia" w:ascii="Times New Roman" w:eastAsia="仿宋_GB2312"/>
          <w:sz w:val="32"/>
          <w:szCs w:val="28"/>
          <w:lang w:eastAsia="zh-CN"/>
        </w:rPr>
        <w:t>100</w:t>
      </w:r>
      <w:r>
        <w:rPr>
          <w:rFonts w:hint="eastAsia" w:ascii="Times New Roman" w:eastAsia="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bCs/>
          <w:sz w:val="32"/>
          <w:szCs w:val="28"/>
          <w:lang w:eastAsia="zh-CN"/>
        </w:rPr>
      </w:pPr>
      <w:r>
        <w:rPr>
          <w:rFonts w:hint="eastAsia" w:ascii="Times New Roman" w:eastAsia="仿宋_GB2312"/>
          <w:b/>
          <w:bCs/>
          <w:sz w:val="32"/>
          <w:szCs w:val="28"/>
        </w:rPr>
        <w:t>①</w:t>
      </w:r>
      <w:r>
        <w:rPr>
          <w:rFonts w:hint="eastAsia" w:ascii="Times New Roman" w:eastAsia="仿宋_GB2312"/>
          <w:b/>
          <w:bCs/>
          <w:sz w:val="32"/>
          <w:szCs w:val="28"/>
          <w:lang w:eastAsia="zh-CN"/>
        </w:rPr>
        <w:t>经济效益指标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hAnsi="宋体" w:eastAsia="仿宋_GB2312"/>
          <w:sz w:val="32"/>
          <w:szCs w:val="28"/>
          <w:highlight w:val="none"/>
        </w:rPr>
      </w:pPr>
      <w:r>
        <w:rPr>
          <w:rFonts w:hint="eastAsia" w:ascii="Times New Roman" w:eastAsia="仿宋_GB2312"/>
          <w:sz w:val="32"/>
          <w:lang w:eastAsia="zh-CN"/>
        </w:rPr>
        <w:t>经济效益指标</w:t>
      </w:r>
      <w:r>
        <w:rPr>
          <w:rFonts w:hint="eastAsia" w:ascii="Times New Roman" w:eastAsia="仿宋_GB2312"/>
          <w:sz w:val="32"/>
        </w:rPr>
        <w:t>下设</w:t>
      </w:r>
      <w:r>
        <w:rPr>
          <w:rFonts w:hint="eastAsia" w:ascii="Times New Roman" w:eastAsia="仿宋_GB2312"/>
          <w:sz w:val="32"/>
          <w:lang w:eastAsia="zh-CN"/>
        </w:rPr>
        <w:t>2</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分值10</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val="en-US" w:eastAsia="zh-CN"/>
        </w:rPr>
        <w:t>10</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eastAsia="zh-CN"/>
        </w:rPr>
        <w:t>100</w:t>
      </w:r>
      <w:r>
        <w:rPr>
          <w:rFonts w:hint="eastAsia" w:ascii="Times New Roman" w:hAnsi="宋体" w:eastAsia="仿宋_GB2312"/>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cs="宋体"/>
          <w:b w:val="0"/>
          <w:bCs w:val="0"/>
          <w:kern w:val="0"/>
          <w:sz w:val="32"/>
          <w:szCs w:val="28"/>
        </w:rPr>
      </w:pPr>
      <w:r>
        <w:rPr>
          <w:rFonts w:hint="eastAsia" w:ascii="Times New Roman" w:eastAsia="仿宋_GB2312"/>
          <w:b/>
          <w:bCs/>
          <w:sz w:val="32"/>
          <w:lang w:val="en-US" w:eastAsia="zh-CN"/>
        </w:rPr>
        <w:t>财务审核规范性：</w:t>
      </w:r>
      <w:r>
        <w:rPr>
          <w:rFonts w:hint="eastAsia" w:ascii="Times New Roman" w:hAnsi="宋体" w:eastAsia="仿宋_GB2312" w:cs="宋体"/>
          <w:b w:val="0"/>
          <w:bCs w:val="0"/>
          <w:kern w:val="0"/>
          <w:sz w:val="32"/>
          <w:szCs w:val="28"/>
          <w:highlight w:val="none"/>
          <w:lang w:val="en-US" w:eastAsia="zh-CN"/>
        </w:rPr>
        <w:t>我院资金支出总体上审批程序合规、手续齐全，支出内容符合财政预算批复规定的用途。达</w:t>
      </w:r>
      <w:r>
        <w:rPr>
          <w:rFonts w:hint="eastAsia" w:ascii="Times New Roman" w:eastAsia="仿宋_GB2312"/>
          <w:sz w:val="32"/>
          <w:lang w:val="en-US" w:eastAsia="zh-CN"/>
        </w:rPr>
        <w:t>到既定目标</w:t>
      </w:r>
      <w:r>
        <w:rPr>
          <w:rFonts w:hint="eastAsia" w:ascii="Times New Roman" w:eastAsia="仿宋_GB2312"/>
          <w:b w:val="0"/>
          <w:bCs w:val="0"/>
          <w:sz w:val="32"/>
          <w:lang w:val="en-US" w:eastAsia="zh-CN"/>
        </w:rPr>
        <w:t>。</w:t>
      </w:r>
      <w:r>
        <w:rPr>
          <w:rFonts w:hint="eastAsia" w:ascii="Times New Roman" w:hAnsi="宋体" w:eastAsia="仿宋_GB2312" w:cs="宋体"/>
          <w:b w:val="0"/>
          <w:bCs w:val="0"/>
          <w:kern w:val="0"/>
          <w:sz w:val="32"/>
          <w:szCs w:val="28"/>
        </w:rPr>
        <w:t>该指标分值</w:t>
      </w:r>
      <w:r>
        <w:rPr>
          <w:rFonts w:hint="eastAsia" w:ascii="Times New Roman" w:hAnsi="宋体" w:eastAsia="仿宋_GB2312" w:cs="宋体"/>
          <w:b w:val="0"/>
          <w:bCs w:val="0"/>
          <w:kern w:val="0"/>
          <w:sz w:val="32"/>
          <w:szCs w:val="28"/>
          <w:lang w:val="en-US" w:eastAsia="zh-CN"/>
        </w:rPr>
        <w:t>5</w:t>
      </w:r>
      <w:r>
        <w:rPr>
          <w:rFonts w:hint="eastAsia" w:ascii="Times New Roman" w:hAnsi="宋体" w:eastAsia="仿宋_GB2312" w:cs="宋体"/>
          <w:b w:val="0"/>
          <w:bCs w:val="0"/>
          <w:kern w:val="0"/>
          <w:sz w:val="32"/>
          <w:szCs w:val="28"/>
        </w:rPr>
        <w:t>分，</w:t>
      </w:r>
      <w:r>
        <w:rPr>
          <w:rFonts w:hint="eastAsia" w:ascii="Times New Roman" w:hAnsi="宋体" w:eastAsia="仿宋_GB2312" w:cs="宋体"/>
          <w:b w:val="0"/>
          <w:bCs w:val="0"/>
          <w:kern w:val="0"/>
          <w:sz w:val="32"/>
          <w:szCs w:val="28"/>
          <w:highlight w:val="none"/>
        </w:rPr>
        <w:t>自评得分为</w:t>
      </w:r>
      <w:r>
        <w:rPr>
          <w:rFonts w:hint="eastAsia" w:ascii="Times New Roman" w:hAnsi="宋体" w:eastAsia="仿宋_GB2312" w:cs="宋体"/>
          <w:b w:val="0"/>
          <w:bCs w:val="0"/>
          <w:kern w:val="0"/>
          <w:sz w:val="32"/>
          <w:szCs w:val="28"/>
          <w:highlight w:val="none"/>
          <w:lang w:val="en-US" w:eastAsia="zh-CN"/>
        </w:rPr>
        <w:t>5</w:t>
      </w:r>
      <w:r>
        <w:rPr>
          <w:rFonts w:hint="eastAsia" w:ascii="Times New Roman" w:hAnsi="宋体" w:eastAsia="仿宋_GB2312" w:cs="宋体"/>
          <w:b w:val="0"/>
          <w:bCs w:val="0"/>
          <w:kern w:val="0"/>
          <w:sz w:val="32"/>
          <w:szCs w:val="28"/>
          <w:highlight w:val="none"/>
        </w:rPr>
        <w:t>分，得分率为</w:t>
      </w:r>
      <w:r>
        <w:rPr>
          <w:rFonts w:hint="eastAsia" w:ascii="Times New Roman" w:hAnsi="宋体" w:eastAsia="仿宋_GB2312" w:cs="宋体"/>
          <w:b w:val="0"/>
          <w:bCs w:val="0"/>
          <w:kern w:val="0"/>
          <w:sz w:val="32"/>
          <w:szCs w:val="28"/>
          <w:highlight w:val="none"/>
          <w:lang w:eastAsia="zh-CN"/>
        </w:rPr>
        <w:t>100</w:t>
      </w:r>
      <w:r>
        <w:rPr>
          <w:rFonts w:hint="eastAsia" w:ascii="Times New Roman" w:hAnsi="宋体" w:eastAsia="仿宋_GB2312" w:cs="宋体"/>
          <w:b w:val="0"/>
          <w:bCs w:val="0"/>
          <w:kern w:val="0"/>
          <w:sz w:val="32"/>
          <w:szCs w:val="28"/>
          <w:highlight w:val="none"/>
        </w:rPr>
        <w:t>%</w:t>
      </w:r>
      <w:r>
        <w:rPr>
          <w:rFonts w:hint="eastAsia" w:ascii="Times New Roman" w:hAnsi="宋体" w:eastAsia="仿宋_GB2312" w:cs="宋体"/>
          <w:b w:val="0"/>
          <w:bCs w:val="0"/>
          <w:kern w:val="0"/>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sz w:val="32"/>
          <w:lang w:val="en-US" w:eastAsia="zh-CN"/>
        </w:rPr>
      </w:pPr>
      <w:r>
        <w:rPr>
          <w:rFonts w:hint="eastAsia" w:ascii="Times New Roman" w:hAnsi="仿宋_GB2312" w:eastAsia="仿宋_GB2312" w:cstheme="minorBidi"/>
          <w:b/>
          <w:bCs/>
          <w:kern w:val="2"/>
          <w:sz w:val="32"/>
          <w:szCs w:val="22"/>
          <w:lang w:val="en-US" w:eastAsia="zh-CN" w:bidi="ar-SA"/>
        </w:rPr>
        <w:t>资金使用规范性</w:t>
      </w:r>
      <w:r>
        <w:rPr>
          <w:rFonts w:hint="eastAsia" w:ascii="Times New Roman" w:eastAsia="仿宋_GB2312" w:cstheme="minorBidi"/>
          <w:b/>
          <w:bCs/>
          <w:kern w:val="2"/>
          <w:sz w:val="32"/>
          <w:szCs w:val="22"/>
          <w:lang w:val="en-US" w:eastAsia="zh-CN" w:bidi="ar-SA"/>
        </w:rPr>
        <w:t>：</w:t>
      </w:r>
      <w:r>
        <w:rPr>
          <w:rFonts w:hint="eastAsia" w:ascii="Times New Roman" w:eastAsia="仿宋_GB2312"/>
          <w:sz w:val="32"/>
        </w:rPr>
        <w:t>符合国家财经法规和财务管理制度以及有关专项资金管理办法的规定，不存在截留、挤占、挪用、虚列支出等情况。该指标分值</w:t>
      </w:r>
      <w:r>
        <w:rPr>
          <w:rFonts w:hint="eastAsia" w:ascii="Times New Roman" w:eastAsia="仿宋_GB2312"/>
          <w:sz w:val="32"/>
          <w:lang w:val="en-US" w:eastAsia="zh-CN"/>
        </w:rPr>
        <w:t>5</w:t>
      </w:r>
      <w:r>
        <w:rPr>
          <w:rFonts w:hint="eastAsia" w:ascii="Times New Roman" w:eastAsia="仿宋_GB2312"/>
          <w:sz w:val="32"/>
        </w:rPr>
        <w:t>分，自评得分为</w:t>
      </w:r>
      <w:r>
        <w:rPr>
          <w:rFonts w:hint="eastAsia" w:ascii="Times New Roman" w:eastAsia="仿宋_GB2312"/>
          <w:sz w:val="32"/>
          <w:lang w:val="en-US" w:eastAsia="zh-CN"/>
        </w:rPr>
        <w:t>5</w:t>
      </w:r>
      <w:r>
        <w:rPr>
          <w:rFonts w:hint="eastAsia" w:ascii="Times New Roman" w:eastAsia="仿宋_GB2312"/>
          <w:sz w:val="32"/>
        </w:rPr>
        <w:t>分，得分率为</w:t>
      </w:r>
      <w:r>
        <w:rPr>
          <w:rFonts w:hint="eastAsia" w:ascii="Times New Roman" w:eastAsia="仿宋_GB2312"/>
          <w:sz w:val="32"/>
          <w:lang w:val="en-US" w:eastAsia="zh-CN"/>
        </w:rPr>
        <w:t>100</w:t>
      </w:r>
      <w:r>
        <w:rPr>
          <w:rFonts w:hint="eastAsia" w:ascii="Times New Roman" w:eastAsia="仿宋_GB2312"/>
          <w:sz w:val="32"/>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bCs/>
          <w:sz w:val="32"/>
          <w:lang w:eastAsia="zh-CN"/>
        </w:rPr>
      </w:pPr>
      <w:r>
        <w:rPr>
          <w:rFonts w:hint="eastAsia" w:ascii="Times New Roman" w:eastAsia="仿宋_GB2312"/>
          <w:b/>
          <w:bCs/>
          <w:sz w:val="32"/>
          <w:lang w:eastAsia="zh-CN"/>
        </w:rPr>
        <w:t>②社会效益指标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highlight w:val="none"/>
        </w:rPr>
      </w:pPr>
      <w:r>
        <w:rPr>
          <w:rFonts w:hint="eastAsia" w:ascii="Times New Roman" w:eastAsia="仿宋_GB2312"/>
          <w:sz w:val="32"/>
        </w:rPr>
        <w:t>社会效益指标下设</w:t>
      </w:r>
      <w:r>
        <w:rPr>
          <w:rFonts w:hint="eastAsia" w:ascii="Times New Roman" w:eastAsia="仿宋_GB2312"/>
          <w:sz w:val="32"/>
          <w:lang w:eastAsia="zh-CN"/>
        </w:rPr>
        <w:t>2</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分值10</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val="en-US" w:eastAsia="zh-CN"/>
        </w:rPr>
        <w:t>10</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eastAsia="zh-CN"/>
        </w:rPr>
        <w:t>100</w:t>
      </w:r>
      <w:r>
        <w:rPr>
          <w:rFonts w:hint="eastAsia" w:ascii="Times New Roman" w:hAnsi="宋体" w:eastAsia="仿宋_GB2312"/>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hint="default" w:ascii="Times New Roman" w:eastAsia="仿宋_GB2312"/>
          <w:sz w:val="32"/>
          <w:lang w:val="en-US" w:eastAsia="zh-CN"/>
        </w:rPr>
      </w:pPr>
      <w:r>
        <w:rPr>
          <w:rFonts w:hint="eastAsia" w:ascii="Times New Roman" w:eastAsia="仿宋_GB2312"/>
          <w:b/>
          <w:bCs/>
          <w:sz w:val="32"/>
          <w:lang w:val="en-US" w:eastAsia="zh-CN"/>
        </w:rPr>
        <w:t>案件公开透明度：</w:t>
      </w:r>
      <w:r>
        <w:rPr>
          <w:rFonts w:hint="eastAsia" w:ascii="Times New Roman" w:eastAsia="仿宋_GB2312"/>
          <w:sz w:val="32"/>
          <w:lang w:val="en-US" w:eastAsia="zh-CN"/>
        </w:rPr>
        <w:t>司法透明是现代法治国家普遍遵循的重要法律原则，是司法公正、司法廉洁、司法公信的重要保障。我院案件公开透明度年度指标值&gt;=100%，实际完成100%。该指标分值5分，自评得分为5分，得分率为100%。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sz w:val="32"/>
          <w:lang w:val="en-US" w:eastAsia="zh-CN"/>
        </w:rPr>
      </w:pPr>
      <w:r>
        <w:rPr>
          <w:rFonts w:hint="eastAsia" w:ascii="Times New Roman" w:eastAsia="仿宋_GB2312"/>
          <w:b/>
          <w:bCs/>
          <w:sz w:val="32"/>
          <w:lang w:val="en-US" w:eastAsia="zh-CN"/>
        </w:rPr>
        <w:t>维护社会和谐稳定：</w:t>
      </w:r>
      <w:r>
        <w:rPr>
          <w:rFonts w:hint="eastAsia" w:ascii="Times New Roman" w:eastAsia="仿宋_GB2312"/>
          <w:sz w:val="32"/>
          <w:highlight w:val="none"/>
          <w:lang w:val="en-US" w:eastAsia="zh-CN"/>
        </w:rPr>
        <w:t>民事审判工作始终坚持公正与效率的工作主题，坚持法律效果与社会效果相统一，坚持化解群众矛盾与维护社会稳定相结合，坚持“调解优先、调判结合”的原则，全面贯彻试行《民法典》和新修订的《民事诉讼法》及最高人民法院《关于民事诉讼证据的若干规定》等相关规定。</w:t>
      </w:r>
      <w:r>
        <w:rPr>
          <w:rFonts w:hint="eastAsia" w:ascii="Times New Roman" w:eastAsia="仿宋_GB2312"/>
          <w:sz w:val="32"/>
          <w:lang w:val="en-US" w:eastAsia="zh-CN"/>
        </w:rPr>
        <w:t>该指标分值5分，自评得分为5分，得分率为100%。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default" w:ascii="Times New Roman" w:eastAsia="仿宋_GB2312"/>
          <w:b/>
          <w:bCs/>
          <w:sz w:val="32"/>
          <w:lang w:val="en-US" w:eastAsia="zh-CN"/>
        </w:rPr>
      </w:pPr>
      <w:r>
        <w:rPr>
          <w:rFonts w:hint="eastAsia" w:ascii="Times New Roman" w:eastAsia="仿宋_GB2312"/>
          <w:b/>
          <w:bCs/>
          <w:sz w:val="32"/>
          <w:lang w:val="en-US" w:eastAsia="zh-CN"/>
        </w:rPr>
        <w:t>③可持续影响指标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highlight w:val="none"/>
        </w:rPr>
      </w:pPr>
      <w:r>
        <w:rPr>
          <w:rFonts w:hint="eastAsia" w:ascii="Times New Roman" w:eastAsia="仿宋_GB2312"/>
          <w:sz w:val="32"/>
          <w:lang w:val="en-US" w:eastAsia="zh-CN"/>
        </w:rPr>
        <w:t>可持续影响</w:t>
      </w:r>
      <w:r>
        <w:rPr>
          <w:rFonts w:hint="eastAsia" w:ascii="Times New Roman" w:eastAsia="仿宋_GB2312"/>
          <w:sz w:val="32"/>
        </w:rPr>
        <w:t>指标下设</w:t>
      </w:r>
      <w:r>
        <w:rPr>
          <w:rFonts w:hint="eastAsia" w:ascii="Times New Roman" w:eastAsia="仿宋_GB2312"/>
          <w:sz w:val="32"/>
          <w:lang w:eastAsia="zh-CN"/>
        </w:rPr>
        <w:t>2</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分值10</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eastAsia="zh-CN"/>
        </w:rPr>
        <w:t>10</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pStyle w:val="19"/>
        <w:keepNext w:val="0"/>
        <w:keepLines w:val="0"/>
        <w:pageBreakBefore w:val="0"/>
        <w:widowControl w:val="0"/>
        <w:tabs>
          <w:tab w:val="left" w:pos="3080"/>
        </w:tabs>
        <w:kinsoku/>
        <w:wordWrap/>
        <w:overflowPunct w:val="0"/>
        <w:topLinePunct w:val="0"/>
        <w:bidi w:val="0"/>
        <w:snapToGrid/>
        <w:spacing w:beforeAutospacing="0" w:afterAutospacing="0" w:line="560" w:lineRule="exact"/>
        <w:ind w:left="0" w:leftChars="0" w:firstLine="643" w:firstLineChars="200"/>
        <w:rPr>
          <w:rFonts w:hint="eastAsia" w:ascii="Times New Roman" w:hAnsi="仿宋_GB2312" w:eastAsia="仿宋_GB2312" w:cstheme="minorBidi"/>
          <w:kern w:val="2"/>
          <w:sz w:val="32"/>
          <w:szCs w:val="22"/>
          <w:lang w:val="en-US" w:eastAsia="zh-CN" w:bidi="ar-SA"/>
        </w:rPr>
      </w:pPr>
      <w:r>
        <w:rPr>
          <w:rFonts w:hint="eastAsia" w:ascii="Times New Roman" w:hAnsi="仿宋_GB2312" w:eastAsia="仿宋_GB2312" w:cstheme="minorBidi"/>
          <w:b/>
          <w:bCs/>
          <w:kern w:val="2"/>
          <w:sz w:val="32"/>
          <w:szCs w:val="22"/>
          <w:lang w:val="en-US" w:eastAsia="zh-CN" w:bidi="ar-SA"/>
        </w:rPr>
        <w:t>财务制度健全性：</w:t>
      </w:r>
      <w:r>
        <w:rPr>
          <w:rFonts w:hint="eastAsia" w:ascii="Times New Roman" w:hAnsi="仿宋_GB2312" w:eastAsia="仿宋_GB2312" w:cstheme="minorBidi"/>
          <w:kern w:val="2"/>
          <w:sz w:val="32"/>
          <w:szCs w:val="22"/>
          <w:lang w:val="en-US" w:eastAsia="zh-CN" w:bidi="ar-SA"/>
        </w:rPr>
        <w:t>我院根据《秦安县人民法院财务管理制度》进行财务管理，经费收支管理以及票据管理等事项有完备的审批流程和管控手续，在预算执行、事项支出、会计核算以及重大事项支出程序等方面不存在不规范现象，财务管理制度内容完备，具备可操作性。该指标分值5分，自评得分为5分，得分率为100%。</w:t>
      </w:r>
    </w:p>
    <w:p>
      <w:pPr>
        <w:keepNext w:val="0"/>
        <w:keepLines w:val="0"/>
        <w:pageBreakBefore w:val="0"/>
        <w:widowControl w:val="0"/>
        <w:kinsoku/>
        <w:wordWrap/>
        <w:overflowPunct w:val="0"/>
        <w:topLinePunct w:val="0"/>
        <w:bidi w:val="0"/>
        <w:snapToGrid/>
        <w:spacing w:beforeAutospacing="0" w:afterAutospacing="0" w:line="560" w:lineRule="exact"/>
        <w:ind w:left="0" w:leftChars="0" w:firstLine="643" w:firstLineChars="200"/>
        <w:rPr>
          <w:rFonts w:hint="default" w:ascii="Times New Roman" w:hAnsi="仿宋_GB2312" w:eastAsia="仿宋_GB2312" w:cstheme="minorBidi"/>
          <w:kern w:val="2"/>
          <w:sz w:val="32"/>
          <w:szCs w:val="22"/>
          <w:lang w:val="en-US" w:eastAsia="zh-CN" w:bidi="ar-SA"/>
        </w:rPr>
      </w:pPr>
      <w:r>
        <w:rPr>
          <w:rFonts w:hint="eastAsia" w:ascii="Times New Roman" w:hAnsi="仿宋_GB2312" w:eastAsia="仿宋_GB2312" w:cstheme="minorBidi"/>
          <w:b/>
          <w:bCs/>
          <w:kern w:val="2"/>
          <w:sz w:val="32"/>
          <w:szCs w:val="22"/>
          <w:lang w:val="en-US" w:eastAsia="zh-CN" w:bidi="ar-SA"/>
        </w:rPr>
        <w:t>资金管理规范性及长效机制：</w:t>
      </w:r>
      <w:r>
        <w:rPr>
          <w:rFonts w:hint="eastAsia" w:ascii="Times New Roman" w:hAnsi="仿宋_GB2312" w:eastAsia="仿宋_GB2312" w:cstheme="minorBidi"/>
          <w:kern w:val="2"/>
          <w:sz w:val="32"/>
          <w:szCs w:val="22"/>
          <w:lang w:val="en-US" w:eastAsia="zh-CN" w:bidi="ar-SA"/>
        </w:rPr>
        <w:t>我院积极狠抓规章制度建设，编制《秦安县人民法院规章制度汇编》，共收集整理编制各项规章制度，涉及财务、资产管理、审判执行、队伍管理、行政后勤、综合管理等各方面，有效推动全院各项工作规范化开展，进一步发挥了制度监督约束效能，规范了管理行为。该指标分值合计5分，自评得分5分，得分率为100%</w:t>
      </w:r>
      <w:r>
        <w:rPr>
          <w:rFonts w:hint="eastAsia" w:ascii="Times New Roman" w:eastAsia="仿宋_GB2312" w:cstheme="minorBidi"/>
          <w:kern w:val="2"/>
          <w:sz w:val="32"/>
          <w:szCs w:val="22"/>
          <w:lang w:val="en-US" w:eastAsia="zh-CN" w:bidi="ar-SA"/>
        </w:rPr>
        <w:t>。</w:t>
      </w:r>
    </w:p>
    <w:p>
      <w:pPr>
        <w:pageBreakBefore w:val="0"/>
        <w:numPr>
          <w:ilvl w:val="255"/>
          <w:numId w:val="0"/>
        </w:numPr>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szCs w:val="28"/>
        </w:rPr>
      </w:pPr>
      <w:r>
        <w:rPr>
          <w:rFonts w:hint="eastAsia" w:ascii="Times New Roman" w:eastAsia="仿宋_GB2312"/>
          <w:b/>
          <w:bCs/>
          <w:sz w:val="32"/>
          <w:szCs w:val="28"/>
        </w:rPr>
        <w:t>（3）满意度指标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rPr>
      </w:pPr>
      <w:r>
        <w:rPr>
          <w:rFonts w:hint="eastAsia" w:ascii="Times New Roman" w:hAnsi="宋体" w:eastAsia="仿宋_GB2312"/>
          <w:sz w:val="32"/>
          <w:szCs w:val="28"/>
        </w:rPr>
        <w:t>根据</w:t>
      </w:r>
      <w:r>
        <w:rPr>
          <w:rFonts w:hint="eastAsia" w:ascii="Times New Roman" w:hAnsi="宋体" w:eastAsia="仿宋_GB2312"/>
          <w:sz w:val="32"/>
          <w:szCs w:val="28"/>
          <w:lang w:eastAsia="zh-CN"/>
        </w:rPr>
        <w:t>我院</w:t>
      </w:r>
      <w:r>
        <w:rPr>
          <w:rFonts w:hint="eastAsia" w:ascii="Times New Roman" w:hAnsi="宋体" w:eastAsia="仿宋_GB2312"/>
          <w:sz w:val="32"/>
          <w:szCs w:val="28"/>
        </w:rPr>
        <w:t>向社会提供公共产品和服务的主要对象，服务对象满意度主要</w:t>
      </w:r>
      <w:r>
        <w:rPr>
          <w:rFonts w:hint="eastAsia" w:ascii="Times New Roman" w:hAnsi="宋体" w:eastAsia="仿宋_GB2312"/>
          <w:sz w:val="32"/>
          <w:szCs w:val="28"/>
          <w:lang w:val="en-US" w:eastAsia="zh-CN"/>
        </w:rPr>
        <w:t>为干警满意度和当事人</w:t>
      </w:r>
      <w:r>
        <w:rPr>
          <w:rFonts w:hint="eastAsia" w:ascii="Times New Roman" w:hAnsi="宋体" w:eastAsia="仿宋_GB2312"/>
          <w:sz w:val="32"/>
          <w:szCs w:val="28"/>
        </w:rPr>
        <w:t>满意度，该指标分值合计10分，自评得分</w:t>
      </w:r>
      <w:r>
        <w:rPr>
          <w:rFonts w:hint="eastAsia" w:ascii="Times New Roman" w:hAnsi="宋体" w:eastAsia="仿宋_GB2312"/>
          <w:sz w:val="32"/>
          <w:szCs w:val="28"/>
          <w:lang w:val="en-US" w:eastAsia="zh-CN"/>
        </w:rPr>
        <w:t>10</w:t>
      </w:r>
      <w:r>
        <w:rPr>
          <w:rFonts w:hint="eastAsia" w:ascii="Times New Roman" w:hAnsi="宋体" w:eastAsia="仿宋_GB2312"/>
          <w:sz w:val="32"/>
          <w:szCs w:val="28"/>
        </w:rPr>
        <w:t>分，得分率为</w:t>
      </w:r>
      <w:r>
        <w:rPr>
          <w:rFonts w:hint="eastAsia" w:ascii="Times New Roman" w:hAnsi="宋体" w:eastAsia="仿宋_GB2312"/>
          <w:sz w:val="32"/>
          <w:szCs w:val="28"/>
          <w:lang w:val="en-US" w:eastAsia="zh-CN"/>
        </w:rPr>
        <w:t>100</w:t>
      </w:r>
      <w:r>
        <w:rPr>
          <w:rFonts w:hint="eastAsia" w:ascii="Times New Roman" w:hAnsi="宋体" w:eastAsia="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sz w:val="32"/>
          <w:szCs w:val="28"/>
          <w:lang w:val="en-US" w:eastAsia="zh-CN"/>
        </w:rPr>
      </w:pPr>
      <w:r>
        <w:rPr>
          <w:rFonts w:hint="eastAsia" w:ascii="Times New Roman" w:hAnsi="宋体" w:eastAsia="仿宋_GB2312"/>
          <w:b/>
          <w:bCs/>
          <w:sz w:val="32"/>
          <w:szCs w:val="28"/>
          <w:lang w:val="en-US" w:eastAsia="zh-CN"/>
        </w:rPr>
        <w:t>干警满意度：</w:t>
      </w:r>
      <w:r>
        <w:rPr>
          <w:rFonts w:hint="eastAsia" w:ascii="Times New Roman" w:hAnsi="宋体" w:eastAsia="仿宋_GB2312"/>
          <w:sz w:val="32"/>
          <w:szCs w:val="28"/>
          <w:lang w:val="en-US" w:eastAsia="zh-CN"/>
        </w:rPr>
        <w:t>2022年我院积极组织干警参加上级法院和相关部门组织开展的理论专题培训学习，举办全员参与的各项活动，使全院干警的业务水平和能力素质显著提升，培训工作得到了参加培训人员的一致好评。该指标分值5分，自评得分为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cstheme="minorBidi"/>
          <w:kern w:val="2"/>
          <w:sz w:val="32"/>
          <w:szCs w:val="28"/>
          <w:highlight w:val="none"/>
          <w:lang w:val="en-US" w:eastAsia="zh-CN" w:bidi="ar-SA"/>
        </w:rPr>
      </w:pPr>
      <w:r>
        <w:rPr>
          <w:rFonts w:hint="eastAsia" w:ascii="Times New Roman" w:hAnsi="宋体"/>
          <w:b/>
          <w:bCs/>
          <w:sz w:val="32"/>
          <w:szCs w:val="28"/>
          <w:lang w:val="en-US" w:eastAsia="zh-CN"/>
        </w:rPr>
        <w:t>当事人</w:t>
      </w:r>
      <w:r>
        <w:rPr>
          <w:rFonts w:hint="eastAsia" w:ascii="Times New Roman" w:hAnsi="宋体" w:eastAsia="仿宋_GB2312"/>
          <w:b/>
          <w:bCs/>
          <w:sz w:val="32"/>
          <w:szCs w:val="28"/>
        </w:rPr>
        <w:t>满意度：</w:t>
      </w:r>
      <w:r>
        <w:rPr>
          <w:rFonts w:hint="eastAsia" w:ascii="Times New Roman" w:hAnsi="宋体" w:eastAsia="仿宋_GB2312" w:cstheme="minorBidi"/>
          <w:kern w:val="2"/>
          <w:sz w:val="32"/>
          <w:szCs w:val="28"/>
          <w:highlight w:val="none"/>
          <w:lang w:val="en-US" w:eastAsia="zh-CN" w:bidi="ar-SA"/>
        </w:rPr>
        <w:t>我院积极审判各类案件，保障人民群众合法权益，从人员配置到案件审理公正性以及案件执行力度着手，法院的一切工作最终都是为人民群众服务，只有得到人民群众认可，法院的相关工作才能得到人民群众的支持，当事人满意度达到</w:t>
      </w:r>
      <w:r>
        <w:rPr>
          <w:rFonts w:hint="eastAsia" w:ascii="Times New Roman" w:hAnsi="宋体" w:cstheme="minorBidi"/>
          <w:kern w:val="2"/>
          <w:sz w:val="32"/>
          <w:szCs w:val="28"/>
          <w:highlight w:val="none"/>
          <w:lang w:val="en-US" w:eastAsia="zh-CN" w:bidi="ar-SA"/>
        </w:rPr>
        <w:t>95</w:t>
      </w:r>
      <w:r>
        <w:rPr>
          <w:rFonts w:hint="eastAsia" w:ascii="Times New Roman" w:hAnsi="宋体" w:eastAsia="仿宋_GB2312" w:cstheme="minorBidi"/>
          <w:kern w:val="2"/>
          <w:sz w:val="32"/>
          <w:szCs w:val="28"/>
          <w:highlight w:val="none"/>
          <w:lang w:val="en-US" w:eastAsia="zh-CN" w:bidi="ar-SA"/>
        </w:rPr>
        <w:t>%。该指标分值5分，自评得分为5分，得分率为100%。</w:t>
      </w:r>
    </w:p>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hint="eastAsia" w:ascii="Times New Roman" w:eastAsia="仿宋_GB2312"/>
          <w:b/>
          <w:sz w:val="32"/>
        </w:rPr>
      </w:pPr>
      <w:r>
        <w:rPr>
          <w:rFonts w:hint="eastAsia" w:ascii="Times New Roman" w:eastAsia="仿宋_GB2312"/>
          <w:b/>
          <w:sz w:val="32"/>
        </w:rPr>
        <w:t>4</w:t>
      </w:r>
      <w:r>
        <w:rPr>
          <w:rFonts w:hint="eastAsia" w:ascii="Times New Roman" w:eastAsia="仿宋_GB2312"/>
          <w:b/>
          <w:sz w:val="32"/>
          <w:lang w:eastAsia="zh-CN"/>
        </w:rPr>
        <w:t>.</w:t>
      </w:r>
      <w:r>
        <w:rPr>
          <w:rFonts w:hint="eastAsia" w:ascii="Times New Roman" w:eastAsia="仿宋_GB2312"/>
          <w:b/>
          <w:sz w:val="32"/>
        </w:rPr>
        <w:t>偏离绩效目标的原因及下一步改进措施</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lang w:eastAsia="zh-CN"/>
        </w:rPr>
      </w:pPr>
      <w:r>
        <w:rPr>
          <w:rFonts w:hint="eastAsia" w:ascii="Times New Roman" w:eastAsia="仿宋_GB2312"/>
          <w:sz w:val="32"/>
          <w:lang w:eastAsia="zh-CN"/>
        </w:rPr>
        <w:t>无</w:t>
      </w:r>
      <w:r>
        <w:rPr>
          <w:rFonts w:hint="eastAsia" w:ascii="Times New Roman"/>
          <w:sz w:val="32"/>
          <w:lang w:val="en-US" w:eastAsia="zh-CN"/>
        </w:rPr>
        <w:t>偏差</w:t>
      </w:r>
      <w:r>
        <w:rPr>
          <w:rFonts w:hint="eastAsia" w:ascii="Times New Roman" w:eastAsia="仿宋_GB2312"/>
          <w:sz w:val="32"/>
          <w:lang w:eastAsia="zh-CN"/>
        </w:rPr>
        <w:t>。</w:t>
      </w:r>
    </w:p>
    <w:p>
      <w:pPr>
        <w:pStyle w:val="3"/>
        <w:pageBreakBefore w:val="0"/>
        <w:kinsoku/>
        <w:wordWrap/>
        <w:overflowPunct w:val="0"/>
        <w:topLinePunct w:val="0"/>
        <w:bidi w:val="0"/>
        <w:snapToGrid/>
        <w:spacing w:before="0" w:beforeAutospacing="0" w:after="0" w:afterAutospacing="0" w:line="560" w:lineRule="exact"/>
        <w:ind w:left="0" w:leftChars="0" w:right="0" w:rightChars="0" w:firstLine="643" w:firstLineChars="200"/>
        <w:jc w:val="both"/>
        <w:outlineLvl w:val="0"/>
        <w:rPr>
          <w:rFonts w:ascii="Times New Roman" w:eastAsia="黑体"/>
          <w:b/>
          <w:sz w:val="32"/>
        </w:rPr>
      </w:pPr>
      <w:bookmarkStart w:id="97" w:name="_Toc30234"/>
      <w:r>
        <w:rPr>
          <w:rFonts w:hint="eastAsia" w:ascii="Times New Roman" w:eastAsia="黑体"/>
          <w:b/>
          <w:sz w:val="32"/>
        </w:rPr>
        <w:t>五、部门管理的省对市县转移支付绩效自评情况分析</w:t>
      </w:r>
      <w:bookmarkEnd w:id="90"/>
      <w:bookmarkEnd w:id="91"/>
      <w:bookmarkEnd w:id="92"/>
      <w:bookmarkEnd w:id="93"/>
      <w:bookmarkEnd w:id="94"/>
      <w:bookmarkEnd w:id="97"/>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hAnsi="宋体" w:eastAsia="仿宋_GB2312"/>
          <w:sz w:val="32"/>
          <w:szCs w:val="28"/>
          <w:highlight w:val="none"/>
        </w:rPr>
      </w:pPr>
      <w:r>
        <w:rPr>
          <w:rFonts w:hint="eastAsia" w:ascii="Times New Roman" w:hAnsi="宋体" w:eastAsia="仿宋_GB2312"/>
          <w:sz w:val="32"/>
          <w:szCs w:val="28"/>
          <w:lang w:eastAsia="zh-CN"/>
        </w:rPr>
        <w:t>202</w:t>
      </w:r>
      <w:r>
        <w:rPr>
          <w:rFonts w:hint="eastAsia" w:ascii="Times New Roman" w:hAnsi="宋体" w:eastAsia="仿宋_GB2312"/>
          <w:sz w:val="32"/>
          <w:szCs w:val="28"/>
          <w:lang w:val="en-US" w:eastAsia="zh-CN"/>
        </w:rPr>
        <w:t>2</w:t>
      </w:r>
      <w:r>
        <w:rPr>
          <w:rFonts w:hint="eastAsia" w:ascii="Times New Roman" w:hAnsi="宋体" w:eastAsia="仿宋_GB2312"/>
          <w:sz w:val="32"/>
          <w:szCs w:val="28"/>
        </w:rPr>
        <w:t>年，我院转移支付自评项目为1个</w:t>
      </w:r>
      <w:r>
        <w:rPr>
          <w:rFonts w:hint="eastAsia" w:ascii="Times New Roman" w:hAnsi="宋体" w:eastAsia="仿宋_GB2312"/>
          <w:sz w:val="32"/>
          <w:szCs w:val="28"/>
          <w:highlight w:val="none"/>
        </w:rPr>
        <w:t>，通过自评，结果为“</w:t>
      </w:r>
      <w:r>
        <w:rPr>
          <w:rFonts w:hint="eastAsia" w:ascii="Times New Roman" w:eastAsia="仿宋_GB2312"/>
          <w:sz w:val="32"/>
          <w:highlight w:val="none"/>
        </w:rPr>
        <w:t>优</w:t>
      </w:r>
      <w:r>
        <w:rPr>
          <w:rFonts w:hint="eastAsia" w:ascii="Times New Roman"/>
          <w:sz w:val="32"/>
          <w:highlight w:val="none"/>
          <w:lang w:eastAsia="zh-CN"/>
        </w:rPr>
        <w:t>秀</w:t>
      </w:r>
      <w:r>
        <w:rPr>
          <w:rFonts w:hint="eastAsia" w:ascii="Times New Roman" w:hAnsi="宋体" w:eastAsia="仿宋_GB2312"/>
          <w:sz w:val="32"/>
          <w:szCs w:val="28"/>
          <w:highlight w:val="none"/>
        </w:rPr>
        <w:t>”，自评情况分析如下：</w:t>
      </w:r>
    </w:p>
    <w:p>
      <w:pPr>
        <w:pStyle w:val="4"/>
        <w:pageBreakBefore w:val="0"/>
        <w:kinsoku/>
        <w:wordWrap/>
        <w:overflowPunct w:val="0"/>
        <w:topLinePunct w:val="0"/>
        <w:bidi w:val="0"/>
        <w:snapToGrid/>
        <w:spacing w:before="0" w:beforeAutospacing="0" w:after="0" w:afterAutospacing="0" w:line="560" w:lineRule="exact"/>
        <w:ind w:left="0" w:leftChars="0" w:right="0" w:rightChars="0" w:firstLine="643" w:firstLineChars="200"/>
        <w:jc w:val="both"/>
        <w:outlineLvl w:val="1"/>
        <w:rPr>
          <w:rFonts w:ascii="Arial" w:eastAsia="楷体"/>
          <w:b/>
          <w:sz w:val="32"/>
        </w:rPr>
      </w:pPr>
      <w:bookmarkStart w:id="98" w:name="_Toc2159"/>
      <w:bookmarkStart w:id="99" w:name="_Toc6868"/>
      <w:bookmarkStart w:id="100" w:name="_Toc31419"/>
      <w:bookmarkStart w:id="101" w:name="_Toc12566"/>
      <w:r>
        <w:rPr>
          <w:rFonts w:hint="eastAsia" w:ascii="Arial" w:eastAsia="楷体"/>
          <w:b/>
          <w:sz w:val="32"/>
        </w:rPr>
        <w:t>（一）中央政法转移支付资金</w:t>
      </w:r>
      <w:bookmarkEnd w:id="98"/>
      <w:bookmarkEnd w:id="99"/>
      <w:bookmarkEnd w:id="100"/>
      <w:bookmarkEnd w:id="101"/>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sz w:val="32"/>
          <w:highlight w:val="none"/>
        </w:rPr>
      </w:pPr>
      <w:bookmarkStart w:id="102" w:name="_Toc26665"/>
      <w:bookmarkStart w:id="103" w:name="_Toc32543"/>
      <w:bookmarkStart w:id="104" w:name="_Toc6252"/>
      <w:r>
        <w:rPr>
          <w:rFonts w:hint="eastAsia" w:ascii="Times New Roman" w:eastAsia="仿宋_GB2312"/>
          <w:sz w:val="32"/>
          <w:highlight w:val="none"/>
        </w:rPr>
        <w:t>本次绩效自评综合评定202</w:t>
      </w:r>
      <w:r>
        <w:rPr>
          <w:rFonts w:hint="eastAsia" w:ascii="Times New Roman" w:eastAsia="仿宋_GB2312"/>
          <w:sz w:val="32"/>
          <w:highlight w:val="none"/>
          <w:lang w:val="en-US" w:eastAsia="zh-CN"/>
        </w:rPr>
        <w:t>2</w:t>
      </w:r>
      <w:r>
        <w:rPr>
          <w:rFonts w:hint="eastAsia" w:ascii="Times New Roman" w:eastAsia="仿宋_GB2312"/>
          <w:sz w:val="32"/>
          <w:highlight w:val="none"/>
        </w:rPr>
        <w:t>年</w:t>
      </w:r>
      <w:r>
        <w:rPr>
          <w:rFonts w:hint="eastAsia" w:ascii="Times New Roman" w:eastAsia="仿宋_GB2312"/>
          <w:sz w:val="32"/>
          <w:highlight w:val="none"/>
          <w:lang w:val="en-US" w:eastAsia="zh-CN"/>
        </w:rPr>
        <w:t>中央政法转移支付资金</w:t>
      </w:r>
      <w:r>
        <w:rPr>
          <w:rFonts w:hint="eastAsia" w:ascii="Times New Roman" w:eastAsia="仿宋_GB2312"/>
          <w:sz w:val="32"/>
          <w:highlight w:val="none"/>
        </w:rPr>
        <w:t>支出绩效得分为</w:t>
      </w:r>
      <w:r>
        <w:rPr>
          <w:rFonts w:hint="eastAsia" w:ascii="Times New Roman" w:eastAsia="仿宋_GB2312"/>
          <w:sz w:val="32"/>
          <w:highlight w:val="none"/>
          <w:lang w:val="en-US" w:eastAsia="zh-CN"/>
        </w:rPr>
        <w:t>99.9</w:t>
      </w:r>
      <w:r>
        <w:rPr>
          <w:rFonts w:hint="eastAsia" w:ascii="Times New Roman" w:eastAsia="仿宋_GB2312"/>
          <w:sz w:val="32"/>
          <w:highlight w:val="none"/>
        </w:rPr>
        <w:t>分，绩效等级为“优</w:t>
      </w:r>
      <w:r>
        <w:rPr>
          <w:rFonts w:hint="eastAsia" w:ascii="Times New Roman"/>
          <w:sz w:val="32"/>
          <w:highlight w:val="none"/>
          <w:lang w:eastAsia="zh-CN"/>
        </w:rPr>
        <w:t>秀</w:t>
      </w:r>
      <w:r>
        <w:rPr>
          <w:rFonts w:hint="eastAsia" w:ascii="Times New Roman" w:eastAsia="仿宋_GB2312"/>
          <w:sz w:val="32"/>
          <w:highlight w:val="none"/>
        </w:rPr>
        <w:t>”。项目支出绩效评价包括</w:t>
      </w:r>
      <w:r>
        <w:rPr>
          <w:rFonts w:hint="eastAsia" w:ascii="Times New Roman" w:hAnsi="仿宋_GB2312" w:eastAsia="仿宋_GB2312" w:cs="仿宋_GB2312"/>
          <w:sz w:val="32"/>
          <w:highlight w:val="none"/>
          <w:lang w:val="en-US" w:eastAsia="zh-CN"/>
        </w:rPr>
        <w:t>项目资金预算执行率、</w:t>
      </w:r>
      <w:r>
        <w:rPr>
          <w:rFonts w:hint="eastAsia" w:ascii="Times New Roman" w:eastAsia="仿宋_GB2312"/>
          <w:sz w:val="32"/>
          <w:highlight w:val="none"/>
        </w:rPr>
        <w:t>产出、效益、满意度</w:t>
      </w:r>
      <w:r>
        <w:rPr>
          <w:rFonts w:hint="eastAsia" w:ascii="Times New Roman" w:eastAsia="仿宋_GB2312"/>
          <w:sz w:val="32"/>
          <w:highlight w:val="none"/>
          <w:lang w:val="en-US" w:eastAsia="zh-CN"/>
        </w:rPr>
        <w:t>四</w:t>
      </w:r>
      <w:r>
        <w:rPr>
          <w:rFonts w:hint="eastAsia" w:ascii="Times New Roman" w:eastAsia="仿宋_GB2312"/>
          <w:sz w:val="32"/>
          <w:highlight w:val="none"/>
        </w:rPr>
        <w:t>个一级指标，下设</w:t>
      </w:r>
      <w:r>
        <w:rPr>
          <w:rFonts w:hint="eastAsia" w:ascii="Times New Roman" w:eastAsia="仿宋_GB2312"/>
          <w:sz w:val="32"/>
          <w:highlight w:val="none"/>
          <w:lang w:val="en-US" w:eastAsia="zh-CN"/>
        </w:rPr>
        <w:t>9</w:t>
      </w:r>
      <w:r>
        <w:rPr>
          <w:rFonts w:hint="eastAsia" w:ascii="Times New Roman" w:eastAsia="仿宋_GB2312"/>
          <w:sz w:val="32"/>
          <w:highlight w:val="none"/>
        </w:rPr>
        <w:t>个二级指标和</w:t>
      </w:r>
      <w:r>
        <w:rPr>
          <w:rFonts w:hint="eastAsia" w:ascii="Times New Roman" w:eastAsia="仿宋_GB2312"/>
          <w:sz w:val="32"/>
          <w:highlight w:val="none"/>
          <w:lang w:val="en-US" w:eastAsia="zh-CN"/>
        </w:rPr>
        <w:t>18</w:t>
      </w:r>
      <w:r>
        <w:rPr>
          <w:rFonts w:hint="eastAsia" w:ascii="Times New Roman" w:eastAsia="仿宋_GB2312"/>
          <w:sz w:val="32"/>
          <w:highlight w:val="none"/>
        </w:rPr>
        <w:t>个三级指标。项目资金预算执行率</w:t>
      </w:r>
      <w:r>
        <w:rPr>
          <w:rFonts w:hint="eastAsia" w:ascii="Times New Roman" w:eastAsia="仿宋_GB2312"/>
          <w:sz w:val="32"/>
          <w:highlight w:val="none"/>
          <w:lang w:val="en-US" w:eastAsia="zh-CN"/>
        </w:rPr>
        <w:t>100</w:t>
      </w:r>
      <w:r>
        <w:rPr>
          <w:rFonts w:hint="eastAsia" w:ascii="Times New Roman" w:eastAsia="仿宋_GB2312"/>
          <w:sz w:val="32"/>
          <w:highlight w:val="none"/>
        </w:rPr>
        <w:t>%，一级指标得分情况详见下表：</w:t>
      </w:r>
    </w:p>
    <w:tbl>
      <w:tblPr>
        <w:tblStyle w:val="21"/>
        <w:tblW w:w="9039"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33"/>
        <w:gridCol w:w="1678"/>
        <w:gridCol w:w="1560"/>
        <w:gridCol w:w="226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rPr>
                <w:rFonts w:ascii="宋体" w:hAnsi="宋体" w:cs="宋体"/>
                <w:b/>
                <w:color w:val="000000"/>
                <w:kern w:val="0"/>
                <w:sz w:val="24"/>
                <w:highlight w:val="none"/>
                <w:shd w:val="clear" w:color="auto" w:fill="BDD6EE"/>
              </w:rPr>
            </w:pPr>
            <w:r>
              <w:rPr>
                <w:rFonts w:hint="eastAsia" w:ascii="宋体" w:hAnsi="宋体" w:cs="宋体"/>
                <w:b/>
                <w:color w:val="000000"/>
                <w:kern w:val="0"/>
                <w:sz w:val="24"/>
                <w:highlight w:val="none"/>
                <w:shd w:val="clear" w:color="auto" w:fill="BDD6EE"/>
              </w:rPr>
              <w:t>一级指标</w:t>
            </w:r>
          </w:p>
        </w:tc>
        <w:tc>
          <w:tcPr>
            <w:tcW w:w="1678"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both"/>
              <w:rPr>
                <w:rFonts w:ascii="宋体" w:hAnsi="宋体" w:cs="宋体"/>
                <w:b/>
                <w:color w:val="000000"/>
                <w:kern w:val="0"/>
                <w:sz w:val="24"/>
                <w:highlight w:val="none"/>
                <w:shd w:val="clear" w:color="auto" w:fill="BDD6EE"/>
              </w:rPr>
            </w:pPr>
            <w:r>
              <w:rPr>
                <w:rFonts w:hint="eastAsia" w:ascii="宋体" w:hAnsi="宋体" w:cs="宋体"/>
                <w:b/>
                <w:color w:val="000000"/>
                <w:kern w:val="0"/>
                <w:sz w:val="24"/>
                <w:highlight w:val="none"/>
                <w:shd w:val="clear" w:color="auto" w:fill="BDD6EE"/>
              </w:rPr>
              <w:t>分值</w:t>
            </w:r>
          </w:p>
        </w:tc>
        <w:tc>
          <w:tcPr>
            <w:tcW w:w="1560"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rPr>
                <w:rFonts w:ascii="宋体" w:hAnsi="宋体" w:cs="宋体"/>
                <w:b/>
                <w:color w:val="000000"/>
                <w:kern w:val="0"/>
                <w:sz w:val="24"/>
                <w:highlight w:val="none"/>
                <w:shd w:val="clear" w:color="auto" w:fill="BDD6EE"/>
              </w:rPr>
            </w:pPr>
            <w:r>
              <w:rPr>
                <w:rFonts w:hint="eastAsia" w:ascii="宋体" w:hAnsi="宋体" w:cs="宋体"/>
                <w:b/>
                <w:color w:val="000000"/>
                <w:kern w:val="0"/>
                <w:sz w:val="24"/>
                <w:highlight w:val="none"/>
                <w:shd w:val="clear" w:color="auto" w:fill="BDD6EE"/>
              </w:rPr>
              <w:t>自评得分</w:t>
            </w:r>
          </w:p>
        </w:tc>
        <w:tc>
          <w:tcPr>
            <w:tcW w:w="2268"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rPr>
                <w:rFonts w:ascii="宋体" w:hAnsi="宋体" w:cs="宋体"/>
                <w:b/>
                <w:color w:val="000000"/>
                <w:kern w:val="0"/>
                <w:sz w:val="24"/>
                <w:highlight w:val="none"/>
                <w:shd w:val="clear" w:color="auto" w:fill="BDD6EE"/>
              </w:rPr>
            </w:pPr>
            <w:r>
              <w:rPr>
                <w:rFonts w:hint="eastAsia" w:ascii="宋体" w:hAnsi="宋体" w:cs="宋体"/>
                <w:b/>
                <w:color w:val="000000"/>
                <w:kern w:val="0"/>
                <w:sz w:val="24"/>
                <w:highlight w:val="none"/>
                <w:shd w:val="clear" w:color="auto" w:fill="BDD6EE"/>
              </w:rPr>
              <w:t>得分率</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9" w:hRule="atLeast"/>
        </w:trPr>
        <w:tc>
          <w:tcPr>
            <w:tcW w:w="3533" w:type="dxa"/>
            <w:vAlign w:val="center"/>
          </w:tcPr>
          <w:p>
            <w:pPr>
              <w:pageBreakBefore w:val="0"/>
              <w:widowControl/>
              <w:kinsoku/>
              <w:wordWrap/>
              <w:overflowPunct w:val="0"/>
              <w:topLinePunct w:val="0"/>
              <w:autoSpaceDE w:val="0"/>
              <w:autoSpaceDN w:val="0"/>
              <w:bidi w:val="0"/>
              <w:adjustRightInd/>
              <w:snapToGrid/>
              <w:spacing w:line="240" w:lineRule="auto"/>
              <w:jc w:val="left"/>
              <w:rPr>
                <w:rFonts w:hAnsi="宋体" w:cs="宋体"/>
                <w:color w:val="000000"/>
                <w:kern w:val="0"/>
                <w:sz w:val="24"/>
                <w:szCs w:val="28"/>
                <w:highlight w:val="none"/>
              </w:rPr>
            </w:pPr>
            <w:r>
              <w:rPr>
                <w:rFonts w:hint="eastAsia" w:hAnsi="宋体" w:cs="宋体"/>
                <w:color w:val="000000"/>
                <w:kern w:val="0"/>
                <w:sz w:val="24"/>
                <w:szCs w:val="28"/>
                <w:highlight w:val="none"/>
              </w:rPr>
              <w:t>预算执行率</w:t>
            </w:r>
          </w:p>
        </w:tc>
        <w:tc>
          <w:tcPr>
            <w:tcW w:w="1678" w:type="dxa"/>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10</w:t>
            </w:r>
          </w:p>
        </w:tc>
        <w:tc>
          <w:tcPr>
            <w:tcW w:w="1560" w:type="dxa"/>
            <w:vAlign w:val="center"/>
          </w:tcPr>
          <w:p>
            <w:pPr>
              <w:pageBreakBefore w:val="0"/>
              <w:kinsoku/>
              <w:wordWrap/>
              <w:overflowPunct w:val="0"/>
              <w:topLinePunct w:val="0"/>
              <w:autoSpaceDE w:val="0"/>
              <w:autoSpaceDN w:val="0"/>
              <w:bidi w:val="0"/>
              <w:adjustRightInd/>
              <w:snapToGrid/>
              <w:spacing w:line="240" w:lineRule="auto"/>
              <w:ind w:left="0" w:leftChars="0" w:firstLine="0" w:firstLineChars="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9.99</w:t>
            </w:r>
          </w:p>
        </w:tc>
        <w:tc>
          <w:tcPr>
            <w:tcW w:w="2268"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99.9</w:t>
            </w:r>
            <w:r>
              <w:rPr>
                <w:rFonts w:hint="eastAsia" w:ascii="宋体" w:hAnsi="宋体" w:eastAsia="宋体" w:cs="宋体"/>
                <w:color w:val="000000"/>
                <w:kern w:val="0"/>
                <w:sz w:val="22"/>
                <w:szCs w:val="22"/>
                <w:highlight w:val="none"/>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pageBreakBefore w:val="0"/>
              <w:widowControl/>
              <w:kinsoku/>
              <w:wordWrap/>
              <w:overflowPunct w:val="0"/>
              <w:topLinePunct w:val="0"/>
              <w:autoSpaceDE w:val="0"/>
              <w:autoSpaceDN w:val="0"/>
              <w:bidi w:val="0"/>
              <w:adjustRightInd/>
              <w:snapToGrid/>
              <w:spacing w:line="240" w:lineRule="auto"/>
              <w:jc w:val="left"/>
              <w:rPr>
                <w:rFonts w:hint="eastAsia" w:hAnsi="宋体" w:eastAsia="仿宋_GB2312" w:cs="宋体"/>
                <w:color w:val="000000"/>
                <w:kern w:val="0"/>
                <w:sz w:val="24"/>
                <w:szCs w:val="28"/>
                <w:highlight w:val="none"/>
                <w:lang w:val="en-US" w:eastAsia="zh-CN"/>
              </w:rPr>
            </w:pPr>
            <w:r>
              <w:rPr>
                <w:rFonts w:hint="eastAsia" w:hAnsi="宋体" w:cs="宋体"/>
                <w:color w:val="000000"/>
                <w:kern w:val="0"/>
                <w:sz w:val="24"/>
                <w:szCs w:val="28"/>
                <w:highlight w:val="none"/>
              </w:rPr>
              <w:t>产出</w:t>
            </w:r>
            <w:r>
              <w:rPr>
                <w:rFonts w:hint="eastAsia" w:hAnsi="宋体" w:cs="宋体"/>
                <w:color w:val="000000"/>
                <w:kern w:val="0"/>
                <w:sz w:val="24"/>
                <w:szCs w:val="28"/>
                <w:highlight w:val="none"/>
                <w:lang w:val="en-US" w:eastAsia="zh-CN"/>
              </w:rPr>
              <w:t>指标</w:t>
            </w:r>
          </w:p>
        </w:tc>
        <w:tc>
          <w:tcPr>
            <w:tcW w:w="1678" w:type="dxa"/>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48</w:t>
            </w:r>
          </w:p>
        </w:tc>
        <w:tc>
          <w:tcPr>
            <w:tcW w:w="1560" w:type="dxa"/>
            <w:vAlign w:val="center"/>
          </w:tcPr>
          <w:p>
            <w:pPr>
              <w:pageBreakBefore w:val="0"/>
              <w:kinsoku/>
              <w:wordWrap/>
              <w:overflowPunct w:val="0"/>
              <w:topLinePunct w:val="0"/>
              <w:autoSpaceDE w:val="0"/>
              <w:autoSpaceDN w:val="0"/>
              <w:bidi w:val="0"/>
              <w:adjustRightInd/>
              <w:snapToGrid/>
              <w:spacing w:line="240" w:lineRule="auto"/>
              <w:ind w:left="0" w:leftChars="0" w:firstLine="0" w:firstLineChars="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48</w:t>
            </w:r>
          </w:p>
        </w:tc>
        <w:tc>
          <w:tcPr>
            <w:tcW w:w="2268"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90</w:t>
            </w:r>
            <w:r>
              <w:rPr>
                <w:rFonts w:hint="eastAsia" w:ascii="宋体" w:hAnsi="宋体" w:eastAsia="宋体" w:cs="宋体"/>
                <w:color w:val="000000"/>
                <w:kern w:val="0"/>
                <w:sz w:val="22"/>
                <w:szCs w:val="22"/>
                <w:highlight w:val="none"/>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pageBreakBefore w:val="0"/>
              <w:widowControl/>
              <w:kinsoku/>
              <w:wordWrap/>
              <w:overflowPunct w:val="0"/>
              <w:topLinePunct w:val="0"/>
              <w:autoSpaceDE w:val="0"/>
              <w:autoSpaceDN w:val="0"/>
              <w:bidi w:val="0"/>
              <w:adjustRightInd/>
              <w:snapToGrid/>
              <w:spacing w:line="240" w:lineRule="auto"/>
              <w:jc w:val="left"/>
              <w:rPr>
                <w:rFonts w:hint="eastAsia" w:hAnsi="宋体" w:eastAsia="仿宋_GB2312" w:cs="宋体"/>
                <w:color w:val="000000"/>
                <w:kern w:val="0"/>
                <w:sz w:val="24"/>
                <w:szCs w:val="28"/>
                <w:highlight w:val="none"/>
                <w:lang w:val="en-US" w:eastAsia="zh-CN"/>
              </w:rPr>
            </w:pPr>
            <w:r>
              <w:rPr>
                <w:rFonts w:hint="eastAsia" w:hAnsi="宋体" w:cs="宋体"/>
                <w:color w:val="000000"/>
                <w:kern w:val="0"/>
                <w:sz w:val="24"/>
                <w:szCs w:val="28"/>
                <w:highlight w:val="none"/>
              </w:rPr>
              <w:t>效益</w:t>
            </w:r>
            <w:r>
              <w:rPr>
                <w:rFonts w:hint="eastAsia" w:hAnsi="宋体" w:cs="宋体"/>
                <w:color w:val="000000"/>
                <w:kern w:val="0"/>
                <w:sz w:val="24"/>
                <w:szCs w:val="28"/>
                <w:highlight w:val="none"/>
                <w:lang w:val="en-US" w:eastAsia="zh-CN"/>
              </w:rPr>
              <w:t>指标</w:t>
            </w:r>
          </w:p>
        </w:tc>
        <w:tc>
          <w:tcPr>
            <w:tcW w:w="1678" w:type="dxa"/>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rPr>
              <w:t>3</w:t>
            </w:r>
            <w:r>
              <w:rPr>
                <w:rFonts w:hint="eastAsia" w:ascii="宋体" w:hAnsi="宋体" w:eastAsia="宋体" w:cs="宋体"/>
                <w:color w:val="000000"/>
                <w:kern w:val="0"/>
                <w:sz w:val="22"/>
                <w:szCs w:val="22"/>
                <w:highlight w:val="none"/>
                <w:lang w:val="en-US" w:eastAsia="zh-CN"/>
              </w:rPr>
              <w:t>2</w:t>
            </w:r>
          </w:p>
        </w:tc>
        <w:tc>
          <w:tcPr>
            <w:tcW w:w="1560" w:type="dxa"/>
            <w:vAlign w:val="center"/>
          </w:tcPr>
          <w:p>
            <w:pPr>
              <w:pageBreakBefore w:val="0"/>
              <w:kinsoku/>
              <w:wordWrap/>
              <w:overflowPunct w:val="0"/>
              <w:topLinePunct w:val="0"/>
              <w:autoSpaceDE w:val="0"/>
              <w:autoSpaceDN w:val="0"/>
              <w:bidi w:val="0"/>
              <w:adjustRightInd/>
              <w:snapToGrid/>
              <w:spacing w:line="240" w:lineRule="auto"/>
              <w:ind w:left="0" w:leftChars="0" w:firstLine="0" w:firstLineChars="0"/>
              <w:jc w:val="center"/>
              <w:textAlignment w:val="center"/>
              <w:rPr>
                <w:rFonts w:hint="default"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32</w:t>
            </w:r>
          </w:p>
        </w:tc>
        <w:tc>
          <w:tcPr>
            <w:tcW w:w="2268"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val="en-US" w:eastAsia="zh-CN"/>
              </w:rPr>
              <w:t>100</w:t>
            </w:r>
            <w:r>
              <w:rPr>
                <w:rFonts w:hint="eastAsia" w:ascii="宋体" w:hAnsi="宋体" w:eastAsia="宋体" w:cs="宋体"/>
                <w:color w:val="000000"/>
                <w:kern w:val="0"/>
                <w:sz w:val="22"/>
                <w:szCs w:val="22"/>
                <w:highlight w:val="none"/>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vAlign w:val="center"/>
          </w:tcPr>
          <w:p>
            <w:pPr>
              <w:pageBreakBefore w:val="0"/>
              <w:widowControl/>
              <w:kinsoku/>
              <w:wordWrap/>
              <w:overflowPunct w:val="0"/>
              <w:topLinePunct w:val="0"/>
              <w:autoSpaceDE w:val="0"/>
              <w:autoSpaceDN w:val="0"/>
              <w:bidi w:val="0"/>
              <w:adjustRightInd/>
              <w:snapToGrid/>
              <w:spacing w:line="240" w:lineRule="auto"/>
              <w:jc w:val="left"/>
              <w:rPr>
                <w:rFonts w:hint="eastAsia" w:hAnsi="宋体" w:eastAsia="仿宋_GB2312" w:cs="宋体"/>
                <w:color w:val="000000"/>
                <w:kern w:val="0"/>
                <w:sz w:val="24"/>
                <w:szCs w:val="28"/>
                <w:highlight w:val="none"/>
                <w:lang w:val="en-US" w:eastAsia="zh-CN"/>
              </w:rPr>
            </w:pPr>
            <w:r>
              <w:rPr>
                <w:rFonts w:hint="eastAsia" w:hAnsi="宋体" w:cs="宋体"/>
                <w:color w:val="000000"/>
                <w:kern w:val="0"/>
                <w:sz w:val="24"/>
                <w:szCs w:val="28"/>
                <w:highlight w:val="none"/>
              </w:rPr>
              <w:t>满意度</w:t>
            </w:r>
            <w:r>
              <w:rPr>
                <w:rFonts w:hint="eastAsia" w:hAnsi="宋体" w:cs="宋体"/>
                <w:color w:val="000000"/>
                <w:kern w:val="0"/>
                <w:sz w:val="24"/>
                <w:szCs w:val="28"/>
                <w:highlight w:val="none"/>
                <w:lang w:val="en-US" w:eastAsia="zh-CN"/>
              </w:rPr>
              <w:t>指标</w:t>
            </w:r>
          </w:p>
        </w:tc>
        <w:tc>
          <w:tcPr>
            <w:tcW w:w="1678" w:type="dxa"/>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10</w:t>
            </w:r>
          </w:p>
        </w:tc>
        <w:tc>
          <w:tcPr>
            <w:tcW w:w="1560" w:type="dxa"/>
            <w:vAlign w:val="center"/>
          </w:tcPr>
          <w:p>
            <w:pPr>
              <w:pageBreakBefore w:val="0"/>
              <w:kinsoku/>
              <w:wordWrap/>
              <w:overflowPunct w:val="0"/>
              <w:topLinePunct w:val="0"/>
              <w:autoSpaceDE w:val="0"/>
              <w:autoSpaceDN w:val="0"/>
              <w:bidi w:val="0"/>
              <w:adjustRightInd/>
              <w:snapToGrid/>
              <w:spacing w:line="240" w:lineRule="auto"/>
              <w:ind w:left="0" w:leftChars="0" w:firstLine="0" w:firstLineChars="0"/>
              <w:jc w:val="center"/>
              <w:textAlignment w:val="center"/>
              <w:rPr>
                <w:rFonts w:ascii="宋体" w:hAnsi="宋体" w:eastAsia="宋体" w:cs="宋体"/>
                <w:color w:val="000000"/>
                <w:kern w:val="0"/>
                <w:sz w:val="22"/>
                <w:szCs w:val="22"/>
                <w:highlight w:val="none"/>
              </w:rPr>
            </w:pPr>
            <w:r>
              <w:rPr>
                <w:rFonts w:ascii="宋体" w:hAnsi="宋体" w:eastAsia="宋体" w:cs="宋体"/>
                <w:color w:val="000000"/>
                <w:kern w:val="0"/>
                <w:sz w:val="22"/>
                <w:szCs w:val="22"/>
                <w:highlight w:val="none"/>
              </w:rPr>
              <w:t>10</w:t>
            </w:r>
          </w:p>
        </w:tc>
        <w:tc>
          <w:tcPr>
            <w:tcW w:w="2268" w:type="dxa"/>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533"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rPr>
                <w:rFonts w:ascii="宋体" w:hAnsi="宋体" w:cs="宋体"/>
                <w:b/>
                <w:color w:val="000000"/>
                <w:kern w:val="0"/>
                <w:sz w:val="24"/>
                <w:highlight w:val="none"/>
                <w:shd w:val="clear" w:color="auto" w:fill="BDD6EE"/>
              </w:rPr>
            </w:pPr>
            <w:r>
              <w:rPr>
                <w:rFonts w:hint="eastAsia" w:ascii="宋体" w:hAnsi="宋体" w:cs="宋体"/>
                <w:b/>
                <w:color w:val="000000"/>
                <w:kern w:val="0"/>
                <w:sz w:val="24"/>
                <w:highlight w:val="none"/>
                <w:shd w:val="clear" w:color="auto" w:fill="BDD6EE"/>
              </w:rPr>
              <w:t>合计</w:t>
            </w:r>
          </w:p>
        </w:tc>
        <w:tc>
          <w:tcPr>
            <w:tcW w:w="1678"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100</w:t>
            </w:r>
          </w:p>
        </w:tc>
        <w:tc>
          <w:tcPr>
            <w:tcW w:w="1560"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ind w:left="0" w:leftChars="0" w:firstLine="0" w:firstLineChars="0"/>
              <w:jc w:val="center"/>
              <w:textAlignment w:val="center"/>
              <w:rPr>
                <w:rFonts w:hint="default" w:ascii="宋体" w:hAnsi="宋体" w:eastAsia="宋体" w:cs="宋体"/>
                <w:b/>
                <w:color w:val="000000"/>
                <w:kern w:val="0"/>
                <w:sz w:val="22"/>
                <w:szCs w:val="22"/>
                <w:highlight w:val="none"/>
                <w:lang w:val="en-US" w:eastAsia="zh-CN"/>
              </w:rPr>
            </w:pPr>
            <w:r>
              <w:rPr>
                <w:rFonts w:hint="eastAsia" w:ascii="宋体" w:hAnsi="宋体" w:eastAsia="宋体" w:cs="宋体"/>
                <w:b/>
                <w:color w:val="000000"/>
                <w:kern w:val="0"/>
                <w:sz w:val="22"/>
                <w:szCs w:val="22"/>
                <w:highlight w:val="none"/>
                <w:lang w:val="en-US" w:eastAsia="zh-CN"/>
              </w:rPr>
              <w:t>99.9</w:t>
            </w:r>
          </w:p>
        </w:tc>
        <w:tc>
          <w:tcPr>
            <w:tcW w:w="2268" w:type="dxa"/>
            <w:shd w:val="clear" w:color="auto" w:fill="BDD6EE"/>
            <w:vAlign w:val="center"/>
          </w:tcPr>
          <w:p>
            <w:pPr>
              <w:pageBreakBefore w:val="0"/>
              <w:widowControl/>
              <w:kinsoku/>
              <w:wordWrap/>
              <w:overflowPunct w:val="0"/>
              <w:topLinePunct w:val="0"/>
              <w:autoSpaceDE w:val="0"/>
              <w:autoSpaceDN w:val="0"/>
              <w:bidi w:val="0"/>
              <w:adjustRightInd/>
              <w:snapToGrid/>
              <w:spacing w:line="240" w:lineRule="auto"/>
              <w:jc w:val="center"/>
              <w:textAlignment w:val="center"/>
              <w:rPr>
                <w:rFonts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lang w:val="en-US" w:eastAsia="zh-CN"/>
              </w:rPr>
              <w:t>99.9</w:t>
            </w:r>
            <w:r>
              <w:rPr>
                <w:rFonts w:hint="eastAsia" w:ascii="宋体" w:hAnsi="宋体" w:eastAsia="宋体" w:cs="宋体"/>
                <w:b/>
                <w:color w:val="000000"/>
                <w:kern w:val="0"/>
                <w:sz w:val="22"/>
                <w:szCs w:val="22"/>
                <w:highlight w:val="none"/>
              </w:rPr>
              <w:t>%</w:t>
            </w:r>
          </w:p>
        </w:tc>
      </w:tr>
    </w:tbl>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ascii="Times New Roman" w:eastAsia="仿宋_GB2312"/>
          <w:b/>
          <w:sz w:val="32"/>
          <w:szCs w:val="28"/>
        </w:rPr>
      </w:pPr>
      <w:r>
        <w:rPr>
          <w:rFonts w:hint="eastAsia" w:ascii="Times New Roman" w:eastAsia="仿宋_GB2312"/>
          <w:b/>
          <w:sz w:val="32"/>
          <w:szCs w:val="28"/>
        </w:rPr>
        <w:t>1</w:t>
      </w:r>
      <w:r>
        <w:rPr>
          <w:rFonts w:hint="eastAsia" w:ascii="Times New Roman" w:eastAsia="仿宋_GB2312"/>
          <w:b/>
          <w:sz w:val="32"/>
          <w:szCs w:val="28"/>
          <w:lang w:eastAsia="zh-CN"/>
        </w:rPr>
        <w:t>.</w:t>
      </w:r>
      <w:r>
        <w:rPr>
          <w:rFonts w:hint="eastAsia" w:ascii="Times New Roman" w:eastAsia="仿宋_GB2312"/>
          <w:b/>
          <w:sz w:val="32"/>
          <w:szCs w:val="28"/>
        </w:rPr>
        <w:t>项目支出预算执行情况</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szCs w:val="28"/>
          <w:lang w:eastAsia="zh-CN"/>
        </w:rPr>
      </w:pPr>
      <w:r>
        <w:rPr>
          <w:rFonts w:hint="eastAsia" w:ascii="Times New Roman" w:eastAsia="仿宋_GB2312"/>
          <w:sz w:val="32"/>
        </w:rPr>
        <w:t>中央政法转移支付</w:t>
      </w:r>
      <w:r>
        <w:rPr>
          <w:rFonts w:hint="eastAsia" w:ascii="Times New Roman" w:eastAsia="仿宋_GB2312"/>
          <w:sz w:val="32"/>
          <w:szCs w:val="28"/>
        </w:rPr>
        <w:t>项目年初预算数</w:t>
      </w:r>
      <w:r>
        <w:rPr>
          <w:rFonts w:hint="eastAsia" w:ascii="Times New Roman" w:eastAsia="仿宋_GB2312"/>
          <w:sz w:val="32"/>
          <w:szCs w:val="28"/>
          <w:lang w:eastAsia="zh-CN"/>
        </w:rPr>
        <w:t>为</w:t>
      </w:r>
      <w:r>
        <w:rPr>
          <w:rFonts w:hint="eastAsia" w:ascii="Times New Roman" w:eastAsia="仿宋_GB2312"/>
          <w:sz w:val="32"/>
          <w:szCs w:val="28"/>
          <w:lang w:val="en-US" w:eastAsia="zh-CN"/>
        </w:rPr>
        <w:t>352</w:t>
      </w:r>
      <w:r>
        <w:rPr>
          <w:rFonts w:hint="eastAsia" w:ascii="Times New Roman"/>
          <w:sz w:val="32"/>
          <w:szCs w:val="28"/>
          <w:lang w:val="en-US" w:eastAsia="zh-CN"/>
        </w:rPr>
        <w:t>.00</w:t>
      </w:r>
      <w:r>
        <w:rPr>
          <w:rFonts w:hint="eastAsia" w:ascii="Times New Roman" w:eastAsia="仿宋_GB2312"/>
          <w:sz w:val="32"/>
          <w:szCs w:val="28"/>
          <w:lang w:val="en-US" w:eastAsia="zh-CN"/>
        </w:rPr>
        <w:t>万元</w:t>
      </w:r>
      <w:r>
        <w:rPr>
          <w:rFonts w:hint="eastAsia" w:ascii="Times New Roman" w:eastAsia="仿宋_GB2312"/>
          <w:sz w:val="32"/>
          <w:szCs w:val="28"/>
          <w:lang w:eastAsia="zh-CN"/>
        </w:rPr>
        <w:t>，</w:t>
      </w:r>
      <w:r>
        <w:rPr>
          <w:rFonts w:hint="eastAsia" w:ascii="Times New Roman" w:eastAsia="仿宋_GB2312"/>
          <w:sz w:val="32"/>
          <w:szCs w:val="28"/>
        </w:rPr>
        <w:t>全年预算数为</w:t>
      </w:r>
      <w:r>
        <w:rPr>
          <w:rFonts w:hint="eastAsia" w:ascii="Times New Roman" w:eastAsia="仿宋_GB2312"/>
          <w:sz w:val="32"/>
          <w:szCs w:val="28"/>
          <w:lang w:val="en-US" w:eastAsia="zh-CN"/>
        </w:rPr>
        <w:t>352</w:t>
      </w:r>
      <w:r>
        <w:rPr>
          <w:rFonts w:hint="eastAsia" w:ascii="Times New Roman"/>
          <w:sz w:val="32"/>
          <w:szCs w:val="28"/>
          <w:lang w:val="en-US" w:eastAsia="zh-CN"/>
        </w:rPr>
        <w:t>.00</w:t>
      </w:r>
      <w:r>
        <w:rPr>
          <w:rFonts w:hint="eastAsia" w:ascii="Times New Roman" w:eastAsia="仿宋_GB2312"/>
          <w:sz w:val="32"/>
          <w:szCs w:val="28"/>
        </w:rPr>
        <w:t>万元，全年执行数</w:t>
      </w:r>
      <w:r>
        <w:rPr>
          <w:rFonts w:hint="eastAsia" w:ascii="Times New Roman" w:eastAsia="仿宋_GB2312"/>
          <w:sz w:val="32"/>
          <w:szCs w:val="28"/>
          <w:lang w:val="en-US" w:eastAsia="zh-CN"/>
        </w:rPr>
        <w:t>为348.35</w:t>
      </w:r>
      <w:r>
        <w:rPr>
          <w:rFonts w:hint="eastAsia" w:ascii="Times New Roman"/>
          <w:sz w:val="32"/>
          <w:szCs w:val="28"/>
          <w:lang w:val="en-US" w:eastAsia="zh-CN"/>
        </w:rPr>
        <w:t>万元</w:t>
      </w:r>
      <w:r>
        <w:rPr>
          <w:rFonts w:hint="eastAsia" w:ascii="Times New Roman" w:eastAsia="仿宋_GB2312"/>
          <w:sz w:val="32"/>
          <w:szCs w:val="28"/>
          <w:lang w:val="en-US" w:eastAsia="zh-CN"/>
        </w:rPr>
        <w:t>。</w:t>
      </w:r>
      <w:r>
        <w:rPr>
          <w:rFonts w:hint="eastAsia" w:ascii="Times New Roman" w:eastAsia="仿宋_GB2312"/>
          <w:sz w:val="32"/>
          <w:szCs w:val="28"/>
          <w:lang w:eastAsia="zh-CN"/>
        </w:rPr>
        <w:t>预算执行率</w:t>
      </w:r>
      <w:r>
        <w:rPr>
          <w:rFonts w:hint="eastAsia" w:ascii="Times New Roman" w:eastAsia="仿宋_GB2312"/>
          <w:sz w:val="32"/>
          <w:szCs w:val="28"/>
          <w:lang w:val="en-US" w:eastAsia="zh-CN"/>
        </w:rPr>
        <w:t>98.96</w:t>
      </w:r>
      <w:r>
        <w:rPr>
          <w:rFonts w:hint="eastAsia" w:ascii="Times New Roman" w:eastAsia="仿宋_GB2312"/>
          <w:sz w:val="32"/>
          <w:szCs w:val="28"/>
          <w:lang w:eastAsia="zh-CN"/>
        </w:rPr>
        <w:t>%，满分</w:t>
      </w:r>
      <w:r>
        <w:rPr>
          <w:rFonts w:hint="eastAsia" w:ascii="Times New Roman"/>
          <w:sz w:val="32"/>
          <w:szCs w:val="28"/>
          <w:lang w:val="en-US" w:eastAsia="zh-CN"/>
        </w:rPr>
        <w:t>10</w:t>
      </w:r>
      <w:r>
        <w:rPr>
          <w:rFonts w:hint="eastAsia" w:ascii="Times New Roman" w:eastAsia="仿宋_GB2312"/>
          <w:sz w:val="32"/>
          <w:szCs w:val="28"/>
          <w:lang w:eastAsia="zh-CN"/>
        </w:rPr>
        <w:t>分，得分</w:t>
      </w:r>
      <w:r>
        <w:rPr>
          <w:rFonts w:hint="eastAsia" w:ascii="Times New Roman"/>
          <w:sz w:val="32"/>
          <w:szCs w:val="28"/>
          <w:lang w:val="en-US" w:eastAsia="zh-CN"/>
        </w:rPr>
        <w:t>9.9</w:t>
      </w:r>
      <w:r>
        <w:rPr>
          <w:rFonts w:hint="eastAsia" w:ascii="Times New Roman" w:eastAsia="仿宋_GB2312"/>
          <w:sz w:val="32"/>
          <w:szCs w:val="28"/>
          <w:lang w:eastAsia="zh-CN"/>
        </w:rPr>
        <w:t>分。</w:t>
      </w:r>
    </w:p>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ascii="Times New Roman" w:eastAsia="仿宋_GB2312"/>
          <w:b/>
          <w:sz w:val="32"/>
          <w:szCs w:val="28"/>
        </w:rPr>
      </w:pPr>
      <w:r>
        <w:rPr>
          <w:rFonts w:hint="eastAsia" w:ascii="Times New Roman" w:eastAsia="仿宋_GB2312"/>
          <w:b/>
          <w:sz w:val="32"/>
          <w:szCs w:val="28"/>
        </w:rPr>
        <w:t>2</w:t>
      </w:r>
      <w:r>
        <w:rPr>
          <w:rFonts w:hint="eastAsia" w:ascii="Times New Roman" w:eastAsia="仿宋_GB2312"/>
          <w:b/>
          <w:sz w:val="32"/>
          <w:szCs w:val="28"/>
          <w:lang w:eastAsia="zh-CN"/>
        </w:rPr>
        <w:t>.</w:t>
      </w:r>
      <w:r>
        <w:rPr>
          <w:rFonts w:hint="eastAsia" w:ascii="Times New Roman" w:eastAsia="仿宋_GB2312"/>
          <w:b/>
          <w:sz w:val="32"/>
          <w:szCs w:val="28"/>
        </w:rPr>
        <w:t>总体绩效目标完成情况分析</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Times New Roman" w:hAnsi="仿宋_GB2312" w:eastAsia="仿宋_GB2312" w:cstheme="minorBidi"/>
          <w:b w:val="0"/>
          <w:bCs w:val="0"/>
          <w:kern w:val="2"/>
          <w:sz w:val="32"/>
          <w:szCs w:val="28"/>
          <w:lang w:val="en-US" w:eastAsia="zh-CN" w:bidi="ar-SA"/>
        </w:rPr>
      </w:pPr>
      <w:r>
        <w:rPr>
          <w:rFonts w:hint="eastAsia" w:ascii="Times New Roman" w:hAnsi="仿宋_GB2312" w:eastAsia="仿宋_GB2312" w:cstheme="minorBidi"/>
          <w:b w:val="0"/>
          <w:bCs w:val="0"/>
          <w:kern w:val="2"/>
          <w:sz w:val="32"/>
          <w:szCs w:val="28"/>
          <w:lang w:val="en-US" w:eastAsia="zh-CN" w:bidi="ar-SA"/>
        </w:rPr>
        <w:t xml:space="preserve">2022年度，中央政法转移支付资金总体目标基本完成。办案质量有所提高；法官业务能力有所提高，公众满意度有所提升；公众法律意识不断增强；审判执行工作效率有所提高。 </w:t>
      </w:r>
    </w:p>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hint="eastAsia" w:ascii="Times New Roman" w:eastAsia="仿宋_GB2312"/>
          <w:b/>
          <w:sz w:val="32"/>
          <w:szCs w:val="28"/>
          <w:lang w:val="en-US" w:eastAsia="zh-CN"/>
        </w:rPr>
      </w:pPr>
      <w:r>
        <w:rPr>
          <w:rFonts w:hint="eastAsia" w:ascii="Times New Roman" w:eastAsia="仿宋_GB2312"/>
          <w:b/>
          <w:sz w:val="32"/>
          <w:szCs w:val="28"/>
          <w:lang w:val="en-US" w:eastAsia="zh-CN"/>
        </w:rPr>
        <w:t>3.各项指标完成情况分析</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szCs w:val="28"/>
        </w:rPr>
      </w:pPr>
      <w:r>
        <w:rPr>
          <w:rFonts w:hint="eastAsia" w:ascii="Times New Roman" w:eastAsia="仿宋_GB2312"/>
          <w:b/>
          <w:bCs/>
          <w:sz w:val="32"/>
          <w:szCs w:val="28"/>
        </w:rPr>
        <w:t>（1）产出指标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eastAsia="仿宋_GB2312" w:cs="仿宋_GB2312"/>
          <w:sz w:val="32"/>
          <w:szCs w:val="28"/>
        </w:rPr>
      </w:pPr>
      <w:r>
        <w:rPr>
          <w:rFonts w:hint="eastAsia" w:ascii="Times New Roman" w:eastAsia="仿宋_GB2312" w:cs="仿宋_GB2312"/>
          <w:sz w:val="32"/>
          <w:szCs w:val="28"/>
        </w:rPr>
        <w:t>产出指标下设数量</w:t>
      </w:r>
      <w:r>
        <w:rPr>
          <w:rFonts w:hint="eastAsia" w:ascii="Times New Roman" w:eastAsia="仿宋_GB2312" w:cs="仿宋_GB2312"/>
          <w:sz w:val="32"/>
          <w:szCs w:val="28"/>
          <w:lang w:eastAsia="zh-CN"/>
        </w:rPr>
        <w:t>、</w:t>
      </w:r>
      <w:r>
        <w:rPr>
          <w:rFonts w:hint="eastAsia" w:ascii="Times New Roman" w:eastAsia="仿宋_GB2312" w:cs="仿宋_GB2312"/>
          <w:sz w:val="32"/>
          <w:szCs w:val="28"/>
        </w:rPr>
        <w:t>质量</w:t>
      </w:r>
      <w:r>
        <w:rPr>
          <w:rFonts w:hint="eastAsia" w:ascii="Times New Roman" w:eastAsia="仿宋_GB2312" w:cs="仿宋_GB2312"/>
          <w:sz w:val="32"/>
          <w:szCs w:val="28"/>
          <w:lang w:eastAsia="zh-CN"/>
        </w:rPr>
        <w:t>、时效和成本</w:t>
      </w:r>
      <w:r>
        <w:rPr>
          <w:rFonts w:hint="eastAsia" w:ascii="Times New Roman" w:eastAsia="仿宋_GB2312" w:cs="仿宋_GB2312"/>
          <w:sz w:val="32"/>
          <w:szCs w:val="28"/>
          <w:lang w:val="en-US" w:eastAsia="zh-CN"/>
        </w:rPr>
        <w:t>4</w:t>
      </w:r>
      <w:r>
        <w:rPr>
          <w:rFonts w:hint="eastAsia" w:ascii="Times New Roman" w:eastAsia="仿宋_GB2312" w:cs="仿宋_GB2312"/>
          <w:sz w:val="32"/>
          <w:szCs w:val="28"/>
        </w:rPr>
        <w:t>个二级指标。</w:t>
      </w:r>
      <w:r>
        <w:rPr>
          <w:rFonts w:hint="eastAsia" w:ascii="Times New Roman" w:eastAsia="仿宋_GB2312" w:cs="仿宋_GB2312"/>
          <w:sz w:val="32"/>
          <w:szCs w:val="28"/>
          <w:lang w:val="en-US" w:eastAsia="zh-CN"/>
        </w:rPr>
        <w:t>指标</w:t>
      </w:r>
      <w:r>
        <w:rPr>
          <w:rFonts w:hint="eastAsia" w:ascii="Times New Roman" w:eastAsia="仿宋_GB2312" w:cs="仿宋_GB2312"/>
          <w:sz w:val="32"/>
          <w:szCs w:val="28"/>
        </w:rPr>
        <w:t>分值50分，</w:t>
      </w:r>
      <w:r>
        <w:rPr>
          <w:rFonts w:hint="eastAsia" w:ascii="Times New Roman" w:eastAsia="仿宋_GB2312" w:cs="仿宋_GB2312"/>
          <w:sz w:val="32"/>
          <w:szCs w:val="28"/>
          <w:lang w:val="en-US" w:eastAsia="zh-CN"/>
        </w:rPr>
        <w:t>自评</w:t>
      </w:r>
      <w:r>
        <w:rPr>
          <w:rFonts w:hint="eastAsia" w:ascii="Times New Roman" w:eastAsia="仿宋_GB2312" w:cs="仿宋_GB2312"/>
          <w:sz w:val="32"/>
          <w:szCs w:val="28"/>
        </w:rPr>
        <w:t>得分</w:t>
      </w:r>
      <w:r>
        <w:rPr>
          <w:rFonts w:hint="eastAsia" w:ascii="Times New Roman" w:eastAsia="仿宋_GB2312" w:cs="仿宋_GB2312"/>
          <w:sz w:val="32"/>
          <w:szCs w:val="28"/>
          <w:lang w:val="en-US" w:eastAsia="zh-CN"/>
        </w:rPr>
        <w:t>50</w:t>
      </w:r>
      <w:r>
        <w:rPr>
          <w:rFonts w:hint="eastAsia" w:ascii="Times New Roman" w:eastAsia="仿宋_GB2312" w:cs="仿宋_GB2312"/>
          <w:sz w:val="32"/>
          <w:szCs w:val="28"/>
        </w:rPr>
        <w:t>分，得分率</w:t>
      </w:r>
      <w:r>
        <w:rPr>
          <w:rFonts w:hint="eastAsia" w:ascii="Times New Roman" w:cs="仿宋_GB2312"/>
          <w:sz w:val="32"/>
          <w:szCs w:val="28"/>
          <w:lang w:val="en-US" w:eastAsia="zh-CN"/>
        </w:rPr>
        <w:t>为</w:t>
      </w:r>
      <w:r>
        <w:rPr>
          <w:rFonts w:hint="eastAsia" w:ascii="Times New Roman" w:eastAsia="仿宋_GB2312" w:cs="仿宋_GB2312"/>
          <w:sz w:val="32"/>
          <w:szCs w:val="28"/>
          <w:lang w:val="en-US" w:eastAsia="zh-CN"/>
        </w:rPr>
        <w:t>100</w:t>
      </w:r>
      <w:r>
        <w:rPr>
          <w:rFonts w:hint="eastAsia" w:ascii="Times New Roman" w:eastAsia="仿宋_GB2312" w:cs="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cs="仿宋_GB2312"/>
          <w:sz w:val="32"/>
          <w:szCs w:val="28"/>
        </w:rPr>
      </w:pPr>
      <w:r>
        <w:rPr>
          <w:rFonts w:hint="eastAsia" w:ascii="Times New Roman" w:eastAsia="仿宋_GB2312"/>
          <w:b/>
          <w:bCs/>
          <w:sz w:val="32"/>
          <w:szCs w:val="28"/>
        </w:rPr>
        <w:t>①数量指标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cs="仿宋_GB2312"/>
          <w:sz w:val="32"/>
          <w:szCs w:val="28"/>
        </w:rPr>
      </w:pPr>
      <w:r>
        <w:rPr>
          <w:rFonts w:hint="eastAsia" w:ascii="Times New Roman" w:eastAsia="仿宋_GB2312"/>
          <w:sz w:val="32"/>
        </w:rPr>
        <w:t>数量指标下设</w:t>
      </w:r>
      <w:r>
        <w:rPr>
          <w:rFonts w:hint="eastAsia" w:ascii="Times New Roman" w:eastAsia="仿宋_GB2312"/>
          <w:sz w:val="32"/>
          <w:lang w:val="en-US" w:eastAsia="zh-CN"/>
        </w:rPr>
        <w:t>2</w:t>
      </w:r>
      <w:r>
        <w:rPr>
          <w:rFonts w:hint="eastAsia" w:ascii="Times New Roman" w:eastAsia="仿宋_GB2312"/>
          <w:sz w:val="32"/>
        </w:rPr>
        <w:t>个三级指标，</w:t>
      </w:r>
      <w:r>
        <w:rPr>
          <w:rFonts w:hint="eastAsia" w:ascii="Times New Roman" w:eastAsia="仿宋_GB2312" w:cs="仿宋_GB2312"/>
          <w:sz w:val="32"/>
          <w:szCs w:val="28"/>
        </w:rPr>
        <w:t>指标</w:t>
      </w:r>
      <w:r>
        <w:rPr>
          <w:rFonts w:hint="eastAsia" w:ascii="Times New Roman" w:eastAsia="仿宋_GB2312" w:cs="仿宋_GB2312"/>
          <w:sz w:val="32"/>
          <w:szCs w:val="28"/>
          <w:lang w:val="en-US" w:eastAsia="zh-CN"/>
        </w:rPr>
        <w:t>分值12</w:t>
      </w:r>
      <w:r>
        <w:rPr>
          <w:rFonts w:hint="eastAsia" w:ascii="Times New Roman" w:eastAsia="仿宋_GB2312" w:cs="仿宋_GB2312"/>
          <w:sz w:val="32"/>
          <w:szCs w:val="28"/>
        </w:rPr>
        <w:t>分，自评得分</w:t>
      </w:r>
      <w:r>
        <w:rPr>
          <w:rFonts w:hint="eastAsia" w:ascii="Times New Roman" w:eastAsia="仿宋_GB2312" w:cs="仿宋_GB2312"/>
          <w:sz w:val="32"/>
          <w:szCs w:val="28"/>
          <w:lang w:val="en-US" w:eastAsia="zh-CN"/>
        </w:rPr>
        <w:t>12</w:t>
      </w:r>
      <w:r>
        <w:rPr>
          <w:rFonts w:hint="eastAsia" w:ascii="Times New Roman" w:eastAsia="仿宋_GB2312" w:cs="仿宋_GB2312"/>
          <w:sz w:val="32"/>
          <w:szCs w:val="28"/>
        </w:rPr>
        <w:t>分，得分率为</w:t>
      </w:r>
      <w:r>
        <w:rPr>
          <w:rFonts w:hint="eastAsia" w:ascii="Times New Roman" w:eastAsia="仿宋_GB2312" w:cs="仿宋_GB2312"/>
          <w:sz w:val="32"/>
          <w:szCs w:val="28"/>
          <w:lang w:val="en-US" w:eastAsia="zh-CN"/>
        </w:rPr>
        <w:t>100</w:t>
      </w:r>
      <w:r>
        <w:rPr>
          <w:rFonts w:hint="eastAsia" w:ascii="Times New Roman" w:eastAsia="仿宋_GB2312" w:cs="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sz w:val="32"/>
        </w:rPr>
      </w:pPr>
      <w:r>
        <w:rPr>
          <w:rFonts w:hint="eastAsia" w:ascii="Times New Roman" w:eastAsia="仿宋_GB2312"/>
          <w:b/>
          <w:bCs/>
          <w:sz w:val="32"/>
          <w:lang w:val="en-US" w:eastAsia="zh-CN"/>
        </w:rPr>
        <w:t>全年受理案件：</w:t>
      </w:r>
      <w:r>
        <w:rPr>
          <w:rFonts w:hint="eastAsia" w:ascii="Times New Roman" w:eastAsia="仿宋_GB2312"/>
          <w:b w:val="0"/>
          <w:bCs w:val="0"/>
          <w:sz w:val="32"/>
          <w:lang w:val="en-US" w:eastAsia="zh-CN"/>
        </w:rPr>
        <w:t>年度指标值&gt;=3000件，实际完成3816件。达到年度指标值。</w:t>
      </w:r>
      <w:r>
        <w:rPr>
          <w:rFonts w:hint="eastAsia" w:ascii="Times New Roman" w:eastAsia="仿宋_GB2312"/>
          <w:b w:val="0"/>
          <w:bCs w:val="0"/>
          <w:sz w:val="32"/>
        </w:rPr>
        <w:t>该指标分值</w:t>
      </w:r>
      <w:r>
        <w:rPr>
          <w:rFonts w:hint="eastAsia" w:ascii="Times New Roman" w:eastAsia="仿宋_GB2312"/>
          <w:b w:val="0"/>
          <w:bCs w:val="0"/>
          <w:sz w:val="32"/>
          <w:lang w:val="en-US" w:eastAsia="zh-CN"/>
        </w:rPr>
        <w:t>6</w:t>
      </w:r>
      <w:r>
        <w:rPr>
          <w:rFonts w:hint="eastAsia" w:ascii="Times New Roman" w:eastAsia="仿宋_GB2312"/>
          <w:b w:val="0"/>
          <w:bCs w:val="0"/>
          <w:sz w:val="32"/>
        </w:rPr>
        <w:t>分，自评得分为</w:t>
      </w:r>
      <w:r>
        <w:rPr>
          <w:rFonts w:hint="eastAsia" w:ascii="Times New Roman" w:eastAsia="仿宋_GB2312"/>
          <w:b w:val="0"/>
          <w:bCs w:val="0"/>
          <w:sz w:val="32"/>
          <w:lang w:val="en-US" w:eastAsia="zh-CN"/>
        </w:rPr>
        <w:t>6</w:t>
      </w:r>
      <w:r>
        <w:rPr>
          <w:rFonts w:hint="eastAsia" w:ascii="Times New Roman" w:eastAsia="仿宋_GB2312"/>
          <w:b w:val="0"/>
          <w:bCs w:val="0"/>
          <w:sz w:val="32"/>
        </w:rPr>
        <w:t>分</w:t>
      </w:r>
      <w:r>
        <w:rPr>
          <w:rFonts w:hint="eastAsia" w:ascii="Times New Roman" w:eastAsia="仿宋_GB2312"/>
          <w:sz w:val="32"/>
        </w:rPr>
        <w:t>，得分率</w:t>
      </w:r>
      <w:r>
        <w:rPr>
          <w:rFonts w:hint="eastAsia" w:ascii="Times New Roman"/>
          <w:sz w:val="32"/>
          <w:lang w:val="en-US" w:eastAsia="zh-CN"/>
        </w:rPr>
        <w:t>为</w:t>
      </w:r>
      <w:r>
        <w:rPr>
          <w:rFonts w:hint="eastAsia" w:ascii="Times New Roman" w:eastAsia="仿宋_GB2312"/>
          <w:sz w:val="32"/>
        </w:rPr>
        <w:t>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sz w:val="32"/>
        </w:rPr>
      </w:pPr>
      <w:r>
        <w:rPr>
          <w:rFonts w:hint="eastAsia" w:ascii="Times New Roman" w:eastAsia="仿宋_GB2312"/>
          <w:b/>
          <w:bCs/>
          <w:sz w:val="32"/>
          <w:lang w:val="en-US" w:eastAsia="zh-CN"/>
        </w:rPr>
        <w:t>全年完结案件：</w:t>
      </w:r>
      <w:r>
        <w:rPr>
          <w:rFonts w:hint="eastAsia" w:ascii="Times New Roman" w:eastAsia="仿宋_GB2312"/>
          <w:b w:val="0"/>
          <w:bCs w:val="0"/>
          <w:sz w:val="32"/>
          <w:lang w:val="en-US" w:eastAsia="zh-CN"/>
        </w:rPr>
        <w:t>年度指标值</w:t>
      </w:r>
      <w:r>
        <w:rPr>
          <w:rFonts w:hint="eastAsia" w:ascii="Times New Roman" w:hAnsi="仿宋_GB2312" w:eastAsia="仿宋_GB2312" w:cs="仿宋_GB2312"/>
          <w:b w:val="0"/>
          <w:bCs w:val="0"/>
          <w:sz w:val="32"/>
          <w:lang w:val="en-US" w:eastAsia="zh-CN"/>
        </w:rPr>
        <w:t>&gt;=3000件</w:t>
      </w:r>
      <w:r>
        <w:rPr>
          <w:rFonts w:hint="eastAsia" w:ascii="Times New Roman" w:eastAsia="仿宋_GB2312"/>
          <w:b w:val="0"/>
          <w:bCs w:val="0"/>
          <w:sz w:val="32"/>
          <w:lang w:val="en-US" w:eastAsia="zh-CN"/>
        </w:rPr>
        <w:t>，实际完成3710件，</w:t>
      </w:r>
      <w:r>
        <w:rPr>
          <w:rFonts w:hint="eastAsia" w:ascii="Times New Roman" w:eastAsia="仿宋_GB2312"/>
          <w:b w:val="0"/>
          <w:bCs w:val="0"/>
          <w:sz w:val="32"/>
        </w:rPr>
        <w:t>达</w:t>
      </w:r>
      <w:r>
        <w:rPr>
          <w:rFonts w:hint="eastAsia" w:ascii="Times New Roman" w:eastAsia="仿宋_GB2312"/>
          <w:sz w:val="32"/>
        </w:rPr>
        <w:t>到年度指标值。该指标分值</w:t>
      </w:r>
      <w:r>
        <w:rPr>
          <w:rFonts w:hint="eastAsia" w:ascii="Times New Roman" w:eastAsia="仿宋_GB2312"/>
          <w:sz w:val="32"/>
          <w:lang w:val="en-US" w:eastAsia="zh-CN"/>
        </w:rPr>
        <w:t>6</w:t>
      </w:r>
      <w:r>
        <w:rPr>
          <w:rFonts w:hint="eastAsia" w:ascii="Times New Roman" w:eastAsia="仿宋_GB2312"/>
          <w:sz w:val="32"/>
        </w:rPr>
        <w:t>分，自评得分为</w:t>
      </w:r>
      <w:r>
        <w:rPr>
          <w:rFonts w:hint="eastAsia" w:ascii="Times New Roman" w:eastAsia="仿宋_GB2312"/>
          <w:sz w:val="32"/>
          <w:lang w:val="en-US" w:eastAsia="zh-CN"/>
        </w:rPr>
        <w:t>6</w:t>
      </w:r>
      <w:r>
        <w:rPr>
          <w:rFonts w:hint="eastAsia" w:ascii="Times New Roman" w:eastAsia="仿宋_GB2312"/>
          <w:sz w:val="32"/>
        </w:rPr>
        <w:t>分，得分率</w:t>
      </w:r>
      <w:r>
        <w:rPr>
          <w:rFonts w:hint="eastAsia" w:ascii="Times New Roman"/>
          <w:sz w:val="32"/>
          <w:lang w:val="en-US" w:eastAsia="zh-CN"/>
        </w:rPr>
        <w:t>为</w:t>
      </w:r>
      <w:r>
        <w:rPr>
          <w:rFonts w:hint="eastAsia" w:ascii="Times New Roman" w:eastAsia="仿宋_GB2312"/>
          <w:sz w:val="32"/>
        </w:rPr>
        <w:t>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rPr>
      </w:pPr>
      <w:r>
        <w:rPr>
          <w:rFonts w:hint="eastAsia" w:ascii="Times New Roman" w:eastAsia="仿宋_GB2312"/>
          <w:b/>
          <w:bCs/>
          <w:sz w:val="32"/>
          <w:lang w:eastAsia="zh-CN"/>
        </w:rPr>
        <w:t>②</w:t>
      </w:r>
      <w:r>
        <w:rPr>
          <w:rFonts w:hint="eastAsia" w:ascii="Times New Roman" w:eastAsia="仿宋_GB2312"/>
          <w:b/>
          <w:bCs/>
          <w:sz w:val="32"/>
        </w:rPr>
        <w:t>质量指标</w:t>
      </w:r>
    </w:p>
    <w:p>
      <w:pPr>
        <w:pageBreakBefore w:val="0"/>
        <w:kinsoku/>
        <w:wordWrap/>
        <w:overflowPunct w:val="0"/>
        <w:topLinePunct w:val="0"/>
        <w:bidi w:val="0"/>
        <w:snapToGrid/>
        <w:spacing w:beforeAutospacing="0" w:afterAutospacing="0" w:line="560" w:lineRule="exact"/>
        <w:ind w:left="0" w:leftChars="0" w:firstLine="640" w:firstLineChars="200"/>
        <w:rPr>
          <w:rFonts w:ascii="Times New Roman" w:hAnsi="宋体" w:eastAsia="仿宋_GB2312"/>
          <w:sz w:val="32"/>
          <w:szCs w:val="28"/>
        </w:rPr>
      </w:pPr>
      <w:r>
        <w:rPr>
          <w:rFonts w:hint="eastAsia" w:ascii="Times New Roman" w:eastAsia="仿宋_GB2312"/>
          <w:sz w:val="32"/>
        </w:rPr>
        <w:t>质量指标下设</w:t>
      </w:r>
      <w:r>
        <w:rPr>
          <w:rFonts w:hint="eastAsia" w:ascii="Times New Roman" w:eastAsia="仿宋_GB2312"/>
          <w:sz w:val="32"/>
          <w:lang w:val="en-US" w:eastAsia="zh-CN"/>
        </w:rPr>
        <w:t>2</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分值12</w:t>
      </w:r>
      <w:r>
        <w:rPr>
          <w:rFonts w:hint="eastAsia" w:ascii="Times New Roman" w:hAnsi="宋体" w:eastAsia="仿宋_GB2312"/>
          <w:sz w:val="32"/>
          <w:szCs w:val="28"/>
        </w:rPr>
        <w:t>分，自评得分</w:t>
      </w:r>
      <w:r>
        <w:rPr>
          <w:rFonts w:hint="eastAsia" w:ascii="Times New Roman" w:hAnsi="宋体" w:eastAsia="仿宋_GB2312"/>
          <w:sz w:val="32"/>
          <w:szCs w:val="28"/>
          <w:lang w:val="en-US" w:eastAsia="zh-CN"/>
        </w:rPr>
        <w:t>12</w:t>
      </w:r>
      <w:r>
        <w:rPr>
          <w:rFonts w:hint="eastAsia" w:ascii="Times New Roman" w:hAnsi="宋体" w:eastAsia="仿宋_GB2312"/>
          <w:sz w:val="32"/>
          <w:szCs w:val="28"/>
        </w:rPr>
        <w:t>分，得分率为</w:t>
      </w:r>
      <w:r>
        <w:rPr>
          <w:rFonts w:hint="eastAsia" w:ascii="Times New Roman" w:hAnsi="宋体" w:eastAsia="仿宋_GB2312"/>
          <w:sz w:val="32"/>
          <w:szCs w:val="28"/>
          <w:lang w:val="en-US" w:eastAsia="zh-CN"/>
        </w:rPr>
        <w:t>100</w:t>
      </w:r>
      <w:r>
        <w:rPr>
          <w:rFonts w:hint="eastAsia" w:ascii="Times New Roman" w:hAnsi="宋体" w:eastAsia="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sz w:val="32"/>
        </w:rPr>
      </w:pPr>
      <w:r>
        <w:rPr>
          <w:rFonts w:hint="eastAsia" w:ascii="Times New Roman" w:hAnsi="宋体" w:eastAsia="仿宋_GB2312" w:cstheme="minorBidi"/>
          <w:b/>
          <w:bCs/>
          <w:kern w:val="2"/>
          <w:sz w:val="32"/>
          <w:szCs w:val="28"/>
          <w:lang w:val="en-US" w:eastAsia="zh-CN" w:bidi="ar-SA"/>
        </w:rPr>
        <w:t>案件结案率：</w:t>
      </w:r>
      <w:r>
        <w:rPr>
          <w:rFonts w:hint="eastAsia" w:ascii="Times New Roman" w:eastAsia="仿宋_GB2312"/>
          <w:b w:val="0"/>
          <w:bCs w:val="0"/>
          <w:sz w:val="32"/>
          <w:lang w:val="en-US" w:eastAsia="zh-CN"/>
        </w:rPr>
        <w:t>年度指标</w:t>
      </w:r>
      <w:r>
        <w:rPr>
          <w:rFonts w:hint="eastAsia" w:ascii="Times New Roman" w:hAnsi="仿宋_GB2312" w:eastAsia="仿宋_GB2312" w:cs="仿宋_GB2312"/>
          <w:b w:val="0"/>
          <w:bCs w:val="0"/>
          <w:sz w:val="32"/>
          <w:lang w:val="en-US" w:eastAsia="zh-CN"/>
        </w:rPr>
        <w:t>=</w:t>
      </w:r>
      <w:r>
        <w:rPr>
          <w:rFonts w:hint="eastAsia" w:ascii="Times New Roman" w:eastAsia="仿宋_GB2312" w:cs="仿宋_GB2312"/>
          <w:b w:val="0"/>
          <w:bCs w:val="0"/>
          <w:sz w:val="32"/>
          <w:lang w:val="en-US" w:eastAsia="zh-CN"/>
        </w:rPr>
        <w:t>90%</w:t>
      </w:r>
      <w:r>
        <w:rPr>
          <w:rFonts w:hint="eastAsia" w:ascii="Times New Roman" w:eastAsia="仿宋_GB2312"/>
          <w:b w:val="0"/>
          <w:bCs w:val="0"/>
          <w:sz w:val="32"/>
          <w:lang w:val="en-US" w:eastAsia="zh-CN"/>
        </w:rPr>
        <w:t>，实际完成97.75%，</w:t>
      </w:r>
      <w:r>
        <w:rPr>
          <w:rFonts w:hint="eastAsia" w:ascii="Times New Roman" w:eastAsia="仿宋_GB2312"/>
          <w:b w:val="0"/>
          <w:bCs w:val="0"/>
          <w:sz w:val="32"/>
        </w:rPr>
        <w:t>达</w:t>
      </w:r>
      <w:r>
        <w:rPr>
          <w:rFonts w:hint="eastAsia" w:ascii="Times New Roman" w:eastAsia="仿宋_GB2312"/>
          <w:sz w:val="32"/>
        </w:rPr>
        <w:t>到年度指标值。该指标分值</w:t>
      </w:r>
      <w:r>
        <w:rPr>
          <w:rFonts w:hint="eastAsia" w:ascii="Times New Roman" w:eastAsia="仿宋_GB2312"/>
          <w:sz w:val="32"/>
          <w:lang w:val="en-US" w:eastAsia="zh-CN"/>
        </w:rPr>
        <w:t>6</w:t>
      </w:r>
      <w:r>
        <w:rPr>
          <w:rFonts w:hint="eastAsia" w:ascii="Times New Roman" w:eastAsia="仿宋_GB2312"/>
          <w:sz w:val="32"/>
        </w:rPr>
        <w:t>分，自评得分为</w:t>
      </w:r>
      <w:r>
        <w:rPr>
          <w:rFonts w:hint="eastAsia" w:ascii="Times New Roman" w:eastAsia="仿宋_GB2312"/>
          <w:sz w:val="32"/>
          <w:lang w:val="en-US" w:eastAsia="zh-CN"/>
        </w:rPr>
        <w:t>6</w:t>
      </w:r>
      <w:r>
        <w:rPr>
          <w:rFonts w:hint="eastAsia" w:ascii="Times New Roman" w:eastAsia="仿宋_GB2312"/>
          <w:sz w:val="32"/>
        </w:rPr>
        <w:t>分，得分率</w:t>
      </w:r>
      <w:r>
        <w:rPr>
          <w:rFonts w:hint="eastAsia" w:ascii="Times New Roman"/>
          <w:sz w:val="32"/>
          <w:lang w:val="en-US" w:eastAsia="zh-CN"/>
        </w:rPr>
        <w:t>为</w:t>
      </w:r>
      <w:r>
        <w:rPr>
          <w:rFonts w:hint="eastAsia" w:ascii="Times New Roman" w:eastAsia="仿宋_GB2312"/>
          <w:sz w:val="32"/>
        </w:rPr>
        <w:t>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sz w:val="32"/>
          <w:lang w:val="en-US" w:eastAsia="zh-CN"/>
        </w:rPr>
      </w:pPr>
      <w:r>
        <w:rPr>
          <w:rFonts w:hint="eastAsia" w:ascii="Times New Roman" w:eastAsia="仿宋_GB2312"/>
          <w:b/>
          <w:bCs/>
          <w:sz w:val="32"/>
          <w:lang w:val="en-US" w:eastAsia="zh-CN"/>
        </w:rPr>
        <w:t>项目验收合格率：</w:t>
      </w:r>
      <w:r>
        <w:rPr>
          <w:rFonts w:hint="eastAsia" w:ascii="Times New Roman" w:eastAsia="仿宋_GB2312"/>
          <w:sz w:val="32"/>
          <w:lang w:val="en-US" w:eastAsia="zh-CN"/>
        </w:rPr>
        <w:t>本年度我院所有项目均全部通过验收，验收合格率为100%，达到年度指标值。该指标分值6分，自评得分为6分，得分率为100%。</w:t>
      </w:r>
    </w:p>
    <w:p>
      <w:pPr>
        <w:pStyle w:val="9"/>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Calibri" w:eastAsia="仿宋_GB2312" w:cs="Calibri"/>
          <w:b/>
          <w:bCs/>
          <w:kern w:val="2"/>
          <w:sz w:val="32"/>
          <w:szCs w:val="28"/>
          <w:lang w:val="en-US" w:eastAsia="zh-CN" w:bidi="ar-SA"/>
        </w:rPr>
      </w:pPr>
      <w:r>
        <w:rPr>
          <w:rFonts w:hint="eastAsia" w:ascii="Times New Roman" w:hAnsi="Calibri" w:eastAsia="仿宋_GB2312" w:cs="Calibri"/>
          <w:b/>
          <w:bCs/>
          <w:kern w:val="2"/>
          <w:sz w:val="32"/>
          <w:szCs w:val="28"/>
          <w:lang w:val="en-US" w:eastAsia="zh-CN" w:bidi="ar-SA"/>
        </w:rPr>
        <w:t>③时效指标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highlight w:val="none"/>
          <w:lang w:val="en-US" w:eastAsia="zh-CN"/>
        </w:rPr>
      </w:pPr>
      <w:r>
        <w:rPr>
          <w:rFonts w:hint="eastAsia" w:ascii="Times New Roman" w:eastAsia="仿宋_GB2312"/>
          <w:sz w:val="32"/>
          <w:lang w:eastAsia="zh-CN"/>
        </w:rPr>
        <w:t>时效</w:t>
      </w:r>
      <w:r>
        <w:rPr>
          <w:rFonts w:hint="eastAsia" w:ascii="Times New Roman" w:eastAsia="仿宋_GB2312"/>
          <w:sz w:val="32"/>
        </w:rPr>
        <w:t>指标下设</w:t>
      </w:r>
      <w:r>
        <w:rPr>
          <w:rFonts w:hint="eastAsia" w:ascii="Times New Roman" w:eastAsia="仿宋_GB2312"/>
          <w:sz w:val="32"/>
          <w:lang w:val="en-US" w:eastAsia="zh-CN"/>
        </w:rPr>
        <w:t>2</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分值15</w:t>
      </w:r>
      <w:r>
        <w:rPr>
          <w:rFonts w:hint="eastAsia" w:ascii="Times New Roman" w:hAnsi="宋体" w:eastAsia="仿宋_GB2312"/>
          <w:sz w:val="32"/>
          <w:szCs w:val="28"/>
        </w:rPr>
        <w:t>分，自评</w:t>
      </w:r>
      <w:r>
        <w:rPr>
          <w:rFonts w:hint="eastAsia" w:ascii="Times New Roman" w:hAnsi="宋体" w:eastAsia="仿宋_GB2312"/>
          <w:sz w:val="32"/>
          <w:szCs w:val="28"/>
          <w:highlight w:val="none"/>
        </w:rPr>
        <w:t>得分</w:t>
      </w:r>
      <w:r>
        <w:rPr>
          <w:rFonts w:hint="eastAsia" w:ascii="Times New Roman" w:hAnsi="宋体" w:eastAsia="仿宋_GB2312"/>
          <w:sz w:val="32"/>
          <w:szCs w:val="28"/>
          <w:highlight w:val="none"/>
          <w:lang w:val="en-US" w:eastAsia="zh-CN"/>
        </w:rPr>
        <w:t>15</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sz w:val="32"/>
          <w:lang w:val="en-US" w:eastAsia="zh-CN"/>
        </w:rPr>
      </w:pPr>
      <w:r>
        <w:rPr>
          <w:rFonts w:hint="eastAsia" w:ascii="Times New Roman" w:eastAsia="仿宋_GB2312"/>
          <w:b/>
          <w:bCs/>
          <w:sz w:val="32"/>
          <w:lang w:val="en-US" w:eastAsia="zh-CN"/>
        </w:rPr>
        <w:t>案件法定期限内办结数量：</w:t>
      </w:r>
      <w:r>
        <w:rPr>
          <w:rFonts w:hint="eastAsia" w:ascii="Times New Roman" w:eastAsia="仿宋_GB2312"/>
          <w:sz w:val="32"/>
          <w:lang w:val="en-US" w:eastAsia="zh-CN"/>
        </w:rPr>
        <w:t>各项审判执行质效指标持续保持高位运行</w:t>
      </w:r>
      <w:r>
        <w:rPr>
          <w:rFonts w:hint="eastAsia" w:ascii="Times New Roman"/>
          <w:sz w:val="32"/>
          <w:lang w:val="en-US" w:eastAsia="zh-CN"/>
        </w:rPr>
        <w:t>，</w:t>
      </w:r>
      <w:r>
        <w:rPr>
          <w:rFonts w:hint="eastAsia" w:ascii="Times New Roman" w:hAnsi="宋体" w:eastAsia="仿宋_GB2312" w:cstheme="minorBidi"/>
          <w:b w:val="0"/>
          <w:bCs w:val="0"/>
          <w:kern w:val="2"/>
          <w:sz w:val="32"/>
          <w:szCs w:val="28"/>
          <w:lang w:val="en-US" w:eastAsia="zh-CN" w:bidi="ar-SA"/>
        </w:rPr>
        <w:t>达到年度指标值。</w:t>
      </w:r>
      <w:r>
        <w:rPr>
          <w:rFonts w:hint="eastAsia" w:ascii="Times New Roman" w:eastAsia="仿宋_GB2312"/>
          <w:sz w:val="32"/>
          <w:lang w:val="en-US" w:eastAsia="zh-CN"/>
        </w:rPr>
        <w:t>该指标分值6分，自评得分为6分，得分率为100%。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bCs/>
          <w:sz w:val="32"/>
        </w:rPr>
      </w:pPr>
      <w:r>
        <w:rPr>
          <w:rFonts w:hint="default" w:ascii="Times New Roman" w:eastAsia="仿宋_GB2312"/>
          <w:b/>
          <w:bCs/>
          <w:sz w:val="32"/>
          <w:lang w:val="en-US" w:eastAsia="zh-CN"/>
        </w:rPr>
        <w:t>办案经费支出及时性</w:t>
      </w:r>
      <w:r>
        <w:rPr>
          <w:rFonts w:hint="eastAsia" w:ascii="Times New Roman" w:eastAsia="仿宋_GB2312"/>
          <w:b/>
          <w:bCs/>
          <w:sz w:val="32"/>
          <w:lang w:val="en-US" w:eastAsia="zh-CN"/>
        </w:rPr>
        <w:t>：</w:t>
      </w:r>
      <w:r>
        <w:rPr>
          <w:rFonts w:hint="eastAsia" w:ascii="Times New Roman" w:eastAsia="仿宋_GB2312"/>
          <w:sz w:val="32"/>
          <w:lang w:val="en-US" w:eastAsia="zh-CN"/>
        </w:rPr>
        <w:t>本年度我院办案经费及时支出，及时保障了办案业务。</w:t>
      </w:r>
      <w:r>
        <w:rPr>
          <w:rFonts w:hint="eastAsia" w:ascii="Times New Roman" w:hAnsi="宋体" w:eastAsia="仿宋_GB2312" w:cstheme="minorBidi"/>
          <w:b w:val="0"/>
          <w:bCs w:val="0"/>
          <w:kern w:val="2"/>
          <w:sz w:val="32"/>
          <w:szCs w:val="28"/>
          <w:lang w:val="en-US" w:eastAsia="zh-CN" w:bidi="ar-SA"/>
        </w:rPr>
        <w:t>达到年度指标值。</w:t>
      </w:r>
      <w:r>
        <w:rPr>
          <w:rFonts w:hint="eastAsia" w:ascii="Times New Roman" w:hAnsi="宋体" w:eastAsia="仿宋_GB2312"/>
          <w:sz w:val="32"/>
          <w:szCs w:val="28"/>
        </w:rPr>
        <w:t>该指标分值</w:t>
      </w:r>
      <w:r>
        <w:rPr>
          <w:rFonts w:hint="eastAsia" w:ascii="Times New Roman" w:hAnsi="宋体" w:eastAsia="仿宋_GB2312"/>
          <w:sz w:val="32"/>
          <w:szCs w:val="28"/>
          <w:lang w:val="en-US" w:eastAsia="zh-CN"/>
        </w:rPr>
        <w:t>6</w:t>
      </w:r>
      <w:r>
        <w:rPr>
          <w:rFonts w:hint="eastAsia" w:ascii="Times New Roman" w:hAnsi="宋体" w:eastAsia="仿宋_GB2312"/>
          <w:sz w:val="32"/>
          <w:szCs w:val="28"/>
        </w:rPr>
        <w:t>分，自评得分为</w:t>
      </w:r>
      <w:r>
        <w:rPr>
          <w:rFonts w:hint="eastAsia" w:ascii="Times New Roman" w:hAnsi="宋体" w:eastAsia="仿宋_GB2312"/>
          <w:sz w:val="32"/>
          <w:szCs w:val="28"/>
          <w:lang w:val="en-US" w:eastAsia="zh-CN"/>
        </w:rPr>
        <w:t>6</w:t>
      </w:r>
      <w:r>
        <w:rPr>
          <w:rFonts w:hint="eastAsia" w:ascii="Times New Roman" w:hAnsi="宋体" w:eastAsia="仿宋_GB2312"/>
          <w:sz w:val="32"/>
          <w:szCs w:val="28"/>
        </w:rPr>
        <w:t>分，得分率为</w:t>
      </w:r>
      <w:r>
        <w:rPr>
          <w:rFonts w:hint="eastAsia" w:ascii="Times New Roman" w:hAnsi="宋体" w:eastAsia="仿宋_GB2312"/>
          <w:sz w:val="32"/>
          <w:szCs w:val="28"/>
          <w:lang w:val="en-US" w:eastAsia="zh-CN"/>
        </w:rPr>
        <w:t>100</w:t>
      </w:r>
      <w:r>
        <w:rPr>
          <w:rFonts w:hint="eastAsia" w:ascii="Times New Roman" w:hAnsi="宋体" w:eastAsia="仿宋_GB2312"/>
          <w:sz w:val="32"/>
          <w:szCs w:val="28"/>
        </w:rPr>
        <w:t>%。</w:t>
      </w:r>
    </w:p>
    <w:p>
      <w:pPr>
        <w:pStyle w:val="9"/>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Calibri" w:eastAsia="仿宋_GB2312" w:cs="Calibri"/>
          <w:b/>
          <w:bCs/>
          <w:kern w:val="2"/>
          <w:sz w:val="32"/>
          <w:szCs w:val="28"/>
          <w:lang w:val="en-US" w:eastAsia="zh-CN" w:bidi="ar-SA"/>
        </w:rPr>
      </w:pPr>
      <w:r>
        <w:rPr>
          <w:rFonts w:hint="eastAsia" w:ascii="Times New Roman" w:hAnsi="Calibri" w:eastAsia="仿宋_GB2312" w:cs="Calibri"/>
          <w:b/>
          <w:bCs/>
          <w:kern w:val="2"/>
          <w:sz w:val="32"/>
          <w:szCs w:val="28"/>
          <w:lang w:val="en-US" w:eastAsia="zh-CN" w:bidi="ar-SA"/>
        </w:rPr>
        <w:t>④成本指标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highlight w:val="none"/>
          <w:lang w:val="en-US" w:eastAsia="zh-CN"/>
        </w:rPr>
      </w:pPr>
      <w:r>
        <w:rPr>
          <w:rFonts w:hint="eastAsia" w:ascii="Times New Roman" w:eastAsia="仿宋_GB2312"/>
          <w:sz w:val="32"/>
          <w:lang w:eastAsia="zh-CN"/>
        </w:rPr>
        <w:t>成本</w:t>
      </w:r>
      <w:r>
        <w:rPr>
          <w:rFonts w:hint="eastAsia" w:ascii="Times New Roman" w:eastAsia="仿宋_GB2312"/>
          <w:sz w:val="32"/>
        </w:rPr>
        <w:t>指标下设</w:t>
      </w:r>
      <w:r>
        <w:rPr>
          <w:rFonts w:hint="eastAsia" w:ascii="Times New Roman" w:eastAsia="仿宋_GB2312"/>
          <w:sz w:val="32"/>
          <w:lang w:val="en-US" w:eastAsia="zh-CN"/>
        </w:rPr>
        <w:t>2</w:t>
      </w:r>
      <w:r>
        <w:rPr>
          <w:rFonts w:hint="eastAsia" w:ascii="Times New Roman" w:eastAsia="仿宋_GB2312"/>
          <w:sz w:val="32"/>
        </w:rPr>
        <w:t>个三级指标</w:t>
      </w:r>
      <w:r>
        <w:rPr>
          <w:rFonts w:hint="eastAsia" w:ascii="Times New Roman" w:eastAsia="仿宋_GB2312"/>
          <w:sz w:val="32"/>
          <w:highlight w:val="none"/>
        </w:rPr>
        <w:t>，</w:t>
      </w:r>
      <w:r>
        <w:rPr>
          <w:rFonts w:hint="eastAsia" w:ascii="Times New Roman" w:hAnsi="宋体" w:eastAsia="仿宋_GB2312"/>
          <w:sz w:val="32"/>
          <w:szCs w:val="28"/>
          <w:highlight w:val="none"/>
        </w:rPr>
        <w:t>指标</w:t>
      </w:r>
      <w:r>
        <w:rPr>
          <w:rFonts w:hint="eastAsia" w:ascii="Times New Roman" w:hAnsi="宋体" w:eastAsia="仿宋_GB2312"/>
          <w:sz w:val="32"/>
          <w:szCs w:val="28"/>
          <w:highlight w:val="none"/>
          <w:lang w:val="en-US" w:eastAsia="zh-CN"/>
        </w:rPr>
        <w:t>分值12</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val="en-US" w:eastAsia="zh-CN"/>
        </w:rPr>
        <w:t>12</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sz w:val="32"/>
          <w:lang w:val="en-US" w:eastAsia="zh-CN"/>
        </w:rPr>
      </w:pPr>
      <w:r>
        <w:rPr>
          <w:rFonts w:hint="eastAsia" w:ascii="Times New Roman" w:hAnsi="宋体" w:eastAsia="仿宋_GB2312" w:cstheme="minorBidi"/>
          <w:b/>
          <w:bCs/>
          <w:kern w:val="2"/>
          <w:sz w:val="32"/>
          <w:szCs w:val="28"/>
          <w:lang w:val="en-US" w:eastAsia="zh-CN" w:bidi="ar-SA"/>
        </w:rPr>
        <w:t>成本控制率：</w:t>
      </w:r>
      <w:r>
        <w:rPr>
          <w:rFonts w:hint="eastAsia" w:ascii="Times New Roman" w:hAnsi="宋体" w:eastAsia="仿宋_GB2312" w:cs="宋体"/>
          <w:kern w:val="0"/>
          <w:sz w:val="32"/>
          <w:szCs w:val="28"/>
          <w:highlight w:val="none"/>
          <w:lang w:val="en-US" w:eastAsia="zh-CN"/>
        </w:rPr>
        <w:t>我院</w:t>
      </w:r>
      <w:r>
        <w:rPr>
          <w:rFonts w:hint="eastAsia" w:ascii="Times New Roman" w:hAnsi="宋体" w:eastAsia="仿宋_GB2312" w:cs="宋体"/>
          <w:kern w:val="0"/>
          <w:sz w:val="32"/>
          <w:szCs w:val="28"/>
          <w:highlight w:val="none"/>
          <w:lang w:eastAsia="zh-CN"/>
        </w:rPr>
        <w:t>中央政</w:t>
      </w:r>
      <w:r>
        <w:rPr>
          <w:rFonts w:hint="eastAsia" w:ascii="Times New Roman" w:hAnsi="宋体" w:eastAsia="仿宋_GB2312" w:cs="宋体"/>
          <w:kern w:val="0"/>
          <w:sz w:val="32"/>
          <w:szCs w:val="28"/>
          <w:lang w:eastAsia="zh-CN"/>
        </w:rPr>
        <w:t>法转移支付资金</w:t>
      </w:r>
      <w:r>
        <w:rPr>
          <w:rFonts w:hint="eastAsia" w:ascii="Times New Roman" w:hAnsi="宋体" w:eastAsia="仿宋_GB2312" w:cs="宋体"/>
          <w:kern w:val="0"/>
          <w:sz w:val="32"/>
          <w:szCs w:val="28"/>
        </w:rPr>
        <w:t>全年预算数</w:t>
      </w:r>
      <w:r>
        <w:rPr>
          <w:rFonts w:hint="eastAsia" w:ascii="Times New Roman" w:hAnsi="宋体" w:eastAsia="仿宋_GB2312" w:cs="宋体"/>
          <w:kern w:val="0"/>
          <w:sz w:val="32"/>
          <w:szCs w:val="28"/>
          <w:lang w:val="en-US" w:eastAsia="zh-CN"/>
        </w:rPr>
        <w:t>为352万元，</w:t>
      </w:r>
      <w:r>
        <w:rPr>
          <w:rFonts w:hint="eastAsia" w:ascii="Times New Roman" w:hAnsi="宋体" w:eastAsia="仿宋_GB2312" w:cs="宋体"/>
          <w:kern w:val="0"/>
          <w:sz w:val="32"/>
          <w:szCs w:val="28"/>
        </w:rPr>
        <w:t>实际支出数为</w:t>
      </w:r>
      <w:r>
        <w:rPr>
          <w:rFonts w:hint="eastAsia" w:ascii="Times New Roman" w:hAnsi="宋体" w:eastAsia="仿宋_GB2312" w:cs="宋体"/>
          <w:kern w:val="0"/>
          <w:sz w:val="32"/>
          <w:szCs w:val="28"/>
          <w:lang w:val="en-US" w:eastAsia="zh-CN"/>
        </w:rPr>
        <w:t>348.35</w:t>
      </w:r>
      <w:r>
        <w:rPr>
          <w:rFonts w:hint="eastAsia" w:ascii="Times New Roman" w:hAnsi="宋体" w:eastAsia="仿宋_GB2312" w:cs="宋体"/>
          <w:kern w:val="0"/>
          <w:sz w:val="32"/>
          <w:szCs w:val="28"/>
        </w:rPr>
        <w:t>万元，</w:t>
      </w:r>
      <w:r>
        <w:rPr>
          <w:rFonts w:hint="eastAsia" w:ascii="Times New Roman" w:hAnsi="宋体" w:eastAsia="仿宋_GB2312" w:cs="宋体"/>
          <w:kern w:val="0"/>
          <w:sz w:val="32"/>
          <w:szCs w:val="28"/>
          <w:highlight w:val="none"/>
          <w:lang w:eastAsia="zh-CN"/>
        </w:rPr>
        <w:t>成本控制在</w:t>
      </w:r>
      <w:r>
        <w:rPr>
          <w:rFonts w:hint="eastAsia" w:ascii="Times New Roman" w:hAnsi="宋体" w:eastAsia="仿宋_GB2312" w:cs="宋体"/>
          <w:kern w:val="0"/>
          <w:sz w:val="32"/>
          <w:szCs w:val="28"/>
          <w:highlight w:val="none"/>
        </w:rPr>
        <w:t>全年预算数</w:t>
      </w:r>
      <w:r>
        <w:rPr>
          <w:rFonts w:hint="eastAsia" w:ascii="Times New Roman" w:hAnsi="宋体" w:eastAsia="仿宋_GB2312" w:cs="宋体"/>
          <w:kern w:val="0"/>
          <w:sz w:val="32"/>
          <w:szCs w:val="28"/>
          <w:highlight w:val="none"/>
          <w:lang w:eastAsia="zh-CN"/>
        </w:rPr>
        <w:t>以内</w:t>
      </w:r>
      <w:r>
        <w:rPr>
          <w:rFonts w:hint="eastAsia" w:ascii="Times New Roman" w:hAnsi="宋体" w:eastAsia="仿宋_GB2312" w:cs="宋体"/>
          <w:kern w:val="0"/>
          <w:sz w:val="32"/>
          <w:szCs w:val="28"/>
          <w:highlight w:val="none"/>
        </w:rPr>
        <w:t>，</w:t>
      </w:r>
      <w:r>
        <w:rPr>
          <w:rFonts w:hint="eastAsia" w:ascii="Times New Roman" w:hAnsi="宋体" w:eastAsia="仿宋_GB2312" w:cs="宋体"/>
          <w:kern w:val="0"/>
          <w:sz w:val="32"/>
          <w:szCs w:val="28"/>
        </w:rPr>
        <w:t>符合年度指标值的要求。</w:t>
      </w:r>
      <w:r>
        <w:rPr>
          <w:rFonts w:hint="eastAsia" w:ascii="Times New Roman" w:eastAsia="仿宋_GB2312"/>
          <w:sz w:val="32"/>
          <w:lang w:val="en-US" w:eastAsia="zh-CN"/>
        </w:rPr>
        <w:t>该指标分值6分，自评得分为6分，得分率为100%。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color w:val="auto"/>
          <w:sz w:val="32"/>
          <w:lang w:val="en-US" w:eastAsia="zh-CN"/>
        </w:rPr>
      </w:pPr>
      <w:r>
        <w:rPr>
          <w:rFonts w:hint="eastAsia" w:ascii="Times New Roman" w:hAnsi="仿宋_GB2312" w:eastAsia="仿宋_GB2312" w:cstheme="minorBidi"/>
          <w:b/>
          <w:bCs/>
          <w:color w:val="auto"/>
          <w:kern w:val="2"/>
          <w:sz w:val="32"/>
          <w:szCs w:val="22"/>
          <w:lang w:val="en-US" w:eastAsia="zh-CN" w:bidi="ar-SA"/>
        </w:rPr>
        <w:t>资金支出真实有效性：</w:t>
      </w:r>
      <w:r>
        <w:rPr>
          <w:rFonts w:hint="eastAsia" w:ascii="Times New Roman" w:eastAsia="仿宋_GB2312"/>
          <w:color w:val="auto"/>
          <w:sz w:val="32"/>
          <w:lang w:val="en-US" w:eastAsia="zh-CN"/>
        </w:rPr>
        <w:t>我院所有资金支出均真实有效。符合国家财经法规和财务管理制度以及有关专项资金管理办法的规定，不存在截留、挤占、挪用、虚列支出等情况。该指标分值6分，自评得分为6分，得分率为100%。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szCs w:val="28"/>
        </w:rPr>
      </w:pPr>
      <w:r>
        <w:rPr>
          <w:rFonts w:hint="eastAsia" w:ascii="Times New Roman" w:eastAsia="仿宋_GB2312"/>
          <w:b/>
          <w:bCs/>
          <w:sz w:val="32"/>
          <w:szCs w:val="28"/>
        </w:rPr>
        <w:t>（2）效益指标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eastAsia="仿宋_GB2312"/>
          <w:sz w:val="32"/>
          <w:szCs w:val="28"/>
        </w:rPr>
      </w:pPr>
      <w:r>
        <w:rPr>
          <w:rFonts w:hint="eastAsia" w:ascii="Times New Roman" w:eastAsia="仿宋_GB2312"/>
          <w:sz w:val="32"/>
          <w:szCs w:val="28"/>
        </w:rPr>
        <w:t>本项目效益指标主要考虑</w:t>
      </w:r>
      <w:r>
        <w:rPr>
          <w:rFonts w:hint="eastAsia" w:ascii="Times New Roman" w:eastAsia="仿宋_GB2312"/>
          <w:sz w:val="32"/>
          <w:szCs w:val="28"/>
          <w:lang w:val="en-US" w:eastAsia="zh-CN"/>
        </w:rPr>
        <w:t>经济效益、</w:t>
      </w:r>
      <w:r>
        <w:rPr>
          <w:rFonts w:hint="eastAsia" w:ascii="Times New Roman" w:eastAsia="仿宋_GB2312"/>
          <w:sz w:val="32"/>
          <w:szCs w:val="28"/>
        </w:rPr>
        <w:t>社会效益</w:t>
      </w:r>
      <w:r>
        <w:rPr>
          <w:rFonts w:hint="eastAsia" w:ascii="Times New Roman" w:eastAsia="仿宋_GB2312"/>
          <w:sz w:val="32"/>
          <w:szCs w:val="28"/>
          <w:lang w:eastAsia="zh-CN"/>
        </w:rPr>
        <w:t>、</w:t>
      </w:r>
      <w:r>
        <w:rPr>
          <w:rFonts w:hint="eastAsia" w:ascii="Times New Roman" w:eastAsia="仿宋_GB2312"/>
          <w:sz w:val="32"/>
          <w:szCs w:val="28"/>
          <w:lang w:val="en-US" w:eastAsia="zh-CN"/>
        </w:rPr>
        <w:t>生态</w:t>
      </w:r>
      <w:r>
        <w:rPr>
          <w:rFonts w:hint="eastAsia" w:ascii="Times New Roman" w:eastAsia="仿宋_GB2312"/>
          <w:sz w:val="32"/>
          <w:szCs w:val="28"/>
        </w:rPr>
        <w:t>和可持续影响</w:t>
      </w:r>
      <w:r>
        <w:rPr>
          <w:rFonts w:hint="eastAsia" w:ascii="Times New Roman" w:eastAsia="仿宋_GB2312"/>
          <w:sz w:val="32"/>
          <w:szCs w:val="28"/>
          <w:lang w:val="en-US" w:eastAsia="zh-CN"/>
        </w:rPr>
        <w:t>四</w:t>
      </w:r>
      <w:r>
        <w:rPr>
          <w:rFonts w:hint="eastAsia" w:ascii="Times New Roman" w:eastAsia="仿宋_GB2312"/>
          <w:sz w:val="32"/>
          <w:szCs w:val="28"/>
        </w:rPr>
        <w:t>部分。总分值30分，得分</w:t>
      </w:r>
      <w:r>
        <w:rPr>
          <w:rFonts w:hint="eastAsia" w:ascii="Times New Roman" w:eastAsia="仿宋_GB2312"/>
          <w:sz w:val="32"/>
          <w:szCs w:val="28"/>
          <w:lang w:val="en-US" w:eastAsia="zh-CN"/>
        </w:rPr>
        <w:t>30</w:t>
      </w:r>
      <w:r>
        <w:rPr>
          <w:rFonts w:hint="eastAsia" w:ascii="Times New Roman" w:eastAsia="仿宋_GB2312"/>
          <w:sz w:val="32"/>
          <w:szCs w:val="28"/>
        </w:rPr>
        <w:t>分，得分率</w:t>
      </w:r>
      <w:r>
        <w:rPr>
          <w:rFonts w:hint="eastAsia" w:ascii="Times New Roman"/>
          <w:sz w:val="32"/>
          <w:szCs w:val="28"/>
          <w:lang w:val="en-US" w:eastAsia="zh-CN"/>
        </w:rPr>
        <w:t>为</w:t>
      </w:r>
      <w:r>
        <w:rPr>
          <w:rFonts w:hint="eastAsia" w:ascii="Times New Roman" w:eastAsia="仿宋_GB2312"/>
          <w:sz w:val="32"/>
          <w:szCs w:val="28"/>
          <w:lang w:val="en-US" w:eastAsia="zh-CN"/>
        </w:rPr>
        <w:t>100</w:t>
      </w:r>
      <w:r>
        <w:rPr>
          <w:rFonts w:hint="eastAsia" w:ascii="Times New Roman" w:eastAsia="仿宋_GB2312"/>
          <w:sz w:val="32"/>
          <w:szCs w:val="28"/>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bCs/>
          <w:sz w:val="32"/>
          <w:szCs w:val="28"/>
          <w:lang w:eastAsia="zh-CN"/>
        </w:rPr>
      </w:pPr>
      <w:r>
        <w:rPr>
          <w:rFonts w:hint="eastAsia" w:ascii="Times New Roman" w:eastAsia="仿宋_GB2312"/>
          <w:b/>
          <w:bCs/>
          <w:sz w:val="32"/>
          <w:szCs w:val="28"/>
        </w:rPr>
        <w:t>①</w:t>
      </w:r>
      <w:r>
        <w:rPr>
          <w:rFonts w:hint="eastAsia" w:ascii="Times New Roman" w:eastAsia="仿宋_GB2312"/>
          <w:b/>
          <w:bCs/>
          <w:sz w:val="32"/>
          <w:szCs w:val="28"/>
          <w:lang w:eastAsia="zh-CN"/>
        </w:rPr>
        <w:t>经济效益指标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highlight w:val="none"/>
        </w:rPr>
      </w:pPr>
      <w:r>
        <w:rPr>
          <w:rFonts w:hint="eastAsia" w:ascii="Times New Roman" w:eastAsia="仿宋_GB2312"/>
          <w:sz w:val="32"/>
          <w:lang w:eastAsia="zh-CN"/>
        </w:rPr>
        <w:t>经济效益指标</w:t>
      </w:r>
      <w:r>
        <w:rPr>
          <w:rFonts w:hint="eastAsia" w:ascii="Times New Roman" w:eastAsia="仿宋_GB2312"/>
          <w:sz w:val="32"/>
        </w:rPr>
        <w:t>下设</w:t>
      </w:r>
      <w:r>
        <w:rPr>
          <w:rFonts w:hint="eastAsia" w:ascii="Times New Roman" w:eastAsia="仿宋_GB2312"/>
          <w:sz w:val="32"/>
          <w:lang w:val="en-US" w:eastAsia="zh-CN"/>
        </w:rPr>
        <w:t>3</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分值12</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val="en-US" w:eastAsia="zh-CN"/>
        </w:rPr>
        <w:t>12</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eastAsia="仿宋_GB2312" w:cstheme="minorBidi"/>
          <w:kern w:val="2"/>
          <w:sz w:val="32"/>
          <w:szCs w:val="22"/>
          <w:lang w:val="en-US" w:eastAsia="zh-CN" w:bidi="ar-SA"/>
        </w:rPr>
      </w:pPr>
      <w:r>
        <w:rPr>
          <w:rFonts w:hint="eastAsia" w:ascii="Times New Roman" w:eastAsia="仿宋_GB2312"/>
          <w:b/>
          <w:bCs/>
          <w:sz w:val="32"/>
          <w:lang w:val="en-US" w:eastAsia="zh-CN"/>
        </w:rPr>
        <w:t>财务审核规范性：</w:t>
      </w:r>
      <w:r>
        <w:rPr>
          <w:rFonts w:hint="eastAsia" w:ascii="Times New Roman" w:hAnsi="仿宋_GB2312" w:eastAsia="仿宋_GB2312" w:cstheme="minorBidi"/>
          <w:kern w:val="2"/>
          <w:sz w:val="32"/>
          <w:szCs w:val="22"/>
          <w:lang w:val="en-US" w:eastAsia="zh-CN" w:bidi="ar-SA"/>
        </w:rPr>
        <w:t>我院资金支出总体上审批程序合规、手续齐全，支出内容符合财政预算批复规定的用途。达到了既定目标值。</w:t>
      </w:r>
      <w:r>
        <w:rPr>
          <w:rFonts w:hint="eastAsia" w:ascii="Times New Roman" w:eastAsia="仿宋_GB2312" w:cstheme="minorBidi"/>
          <w:kern w:val="2"/>
          <w:sz w:val="32"/>
          <w:szCs w:val="22"/>
          <w:lang w:val="en-US" w:eastAsia="zh-CN" w:bidi="ar-SA"/>
        </w:rPr>
        <w:t>该指标4分，自评得分为4分，得分率为100%。</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eastAsia="仿宋_GB2312" w:cstheme="minorBidi"/>
          <w:kern w:val="2"/>
          <w:sz w:val="32"/>
          <w:szCs w:val="22"/>
          <w:lang w:val="en-US" w:eastAsia="zh-CN" w:bidi="ar-SA"/>
        </w:rPr>
      </w:pPr>
      <w:r>
        <w:rPr>
          <w:rFonts w:hint="default" w:ascii="Times New Roman" w:eastAsia="仿宋_GB2312" w:cstheme="minorBidi"/>
          <w:b/>
          <w:bCs/>
          <w:kern w:val="2"/>
          <w:sz w:val="32"/>
          <w:szCs w:val="22"/>
          <w:lang w:val="en-US" w:eastAsia="zh-CN" w:bidi="ar-SA"/>
        </w:rPr>
        <w:t>资金使用规范性</w:t>
      </w:r>
      <w:r>
        <w:rPr>
          <w:rFonts w:hint="eastAsia" w:ascii="Times New Roman" w:eastAsia="仿宋_GB2312" w:cstheme="minorBidi"/>
          <w:b/>
          <w:bCs/>
          <w:kern w:val="2"/>
          <w:sz w:val="32"/>
          <w:szCs w:val="22"/>
          <w:lang w:val="en-US" w:eastAsia="zh-CN" w:bidi="ar-SA"/>
        </w:rPr>
        <w:t>：</w:t>
      </w:r>
      <w:r>
        <w:rPr>
          <w:rFonts w:hint="eastAsia" w:ascii="Times New Roman" w:eastAsia="仿宋_GB2312"/>
          <w:sz w:val="32"/>
          <w:highlight w:val="none"/>
        </w:rPr>
        <w:t>我院资金支出总体上审批程序合规、手续齐全，支出内容符合省财政预算批复规定的用途，严格使用公务卡报销，有效提高了财务资金使用的合理性和规范性</w:t>
      </w:r>
      <w:r>
        <w:rPr>
          <w:rFonts w:hint="eastAsia" w:ascii="Times New Roman" w:eastAsia="仿宋_GB2312"/>
          <w:sz w:val="32"/>
          <w:highlight w:val="none"/>
          <w:lang w:eastAsia="zh-CN"/>
        </w:rPr>
        <w:t>，</w:t>
      </w:r>
      <w:r>
        <w:rPr>
          <w:rFonts w:hint="eastAsia" w:ascii="Times New Roman" w:eastAsia="仿宋_GB2312"/>
          <w:sz w:val="32"/>
          <w:highlight w:val="none"/>
        </w:rPr>
        <w:t>防止了国有资金流失。</w:t>
      </w:r>
      <w:r>
        <w:rPr>
          <w:rFonts w:hint="eastAsia" w:ascii="Times New Roman" w:eastAsia="仿宋_GB2312" w:cstheme="minorBidi"/>
          <w:kern w:val="2"/>
          <w:sz w:val="32"/>
          <w:szCs w:val="22"/>
          <w:lang w:val="en-US" w:eastAsia="zh-CN" w:bidi="ar-SA"/>
        </w:rPr>
        <w:t>该指标4分，自评得分为4分，得分率为100%。</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eastAsia="仿宋_GB2312"/>
          <w:b w:val="0"/>
          <w:bCs w:val="0"/>
          <w:sz w:val="32"/>
          <w:lang w:val="en-US" w:eastAsia="zh-CN"/>
        </w:rPr>
      </w:pPr>
      <w:r>
        <w:rPr>
          <w:rFonts w:hint="eastAsia" w:ascii="Times New Roman" w:eastAsia="仿宋_GB2312"/>
          <w:b/>
          <w:bCs/>
          <w:sz w:val="32"/>
          <w:lang w:val="en-US" w:eastAsia="zh-CN"/>
        </w:rPr>
        <w:t>资金使用与预算指标相符率：</w:t>
      </w:r>
      <w:r>
        <w:rPr>
          <w:rFonts w:hint="eastAsia" w:ascii="Times New Roman" w:eastAsia="仿宋_GB2312"/>
          <w:b w:val="0"/>
          <w:bCs w:val="0"/>
          <w:sz w:val="32"/>
          <w:lang w:val="en-US" w:eastAsia="zh-CN"/>
        </w:rPr>
        <w:t>2022年度，我院中央政法转移支付资金使用与年初设立预算指标相符，相符率达到100%。该指标分值4分，自评得分4分，得分率为100%。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bCs/>
          <w:sz w:val="32"/>
          <w:lang w:eastAsia="zh-CN"/>
        </w:rPr>
      </w:pPr>
      <w:r>
        <w:rPr>
          <w:rFonts w:hint="eastAsia" w:ascii="Times New Roman" w:eastAsia="仿宋_GB2312"/>
          <w:b/>
          <w:bCs/>
          <w:sz w:val="32"/>
          <w:lang w:eastAsia="zh-CN"/>
        </w:rPr>
        <w:t>②社会效益指标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highlight w:val="none"/>
        </w:rPr>
      </w:pPr>
      <w:r>
        <w:rPr>
          <w:rFonts w:hint="eastAsia" w:ascii="Times New Roman" w:eastAsia="仿宋_GB2312"/>
          <w:sz w:val="32"/>
        </w:rPr>
        <w:t>社会效益指标下设</w:t>
      </w:r>
      <w:r>
        <w:rPr>
          <w:rFonts w:hint="eastAsia" w:ascii="Times New Roman" w:eastAsia="仿宋_GB2312"/>
          <w:sz w:val="32"/>
          <w:lang w:val="en-US" w:eastAsia="zh-CN"/>
        </w:rPr>
        <w:t>2</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分值8</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val="en-US" w:eastAsia="zh-CN"/>
        </w:rPr>
        <w:t>8</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59" w:firstLineChars="200"/>
        <w:textAlignment w:val="auto"/>
        <w:rPr>
          <w:rFonts w:ascii="Times New Roman" w:eastAsia="仿宋_GB2312"/>
          <w:sz w:val="32"/>
        </w:rPr>
      </w:pPr>
      <w:r>
        <w:rPr>
          <w:rFonts w:hint="eastAsia" w:ascii="Times New Roman" w:hAnsi="仿宋" w:eastAsia="仿宋_GB2312"/>
          <w:b/>
          <w:bCs/>
          <w:spacing w:val="4"/>
          <w:sz w:val="32"/>
          <w:szCs w:val="28"/>
          <w:lang w:val="en-US" w:eastAsia="zh-CN"/>
        </w:rPr>
        <w:t>单位获奖情况</w:t>
      </w:r>
      <w:r>
        <w:rPr>
          <w:rFonts w:hint="eastAsia" w:ascii="Times New Roman" w:hAnsi="仿宋" w:eastAsia="仿宋_GB2312"/>
          <w:b/>
          <w:bCs/>
          <w:spacing w:val="4"/>
          <w:sz w:val="32"/>
          <w:szCs w:val="28"/>
        </w:rPr>
        <w:t>：</w:t>
      </w:r>
      <w:r>
        <w:rPr>
          <w:rFonts w:hint="eastAsia" w:ascii="Times New Roman" w:hAnsi="仿宋" w:eastAsia="仿宋_GB2312"/>
          <w:b w:val="0"/>
          <w:bCs w:val="0"/>
          <w:spacing w:val="4"/>
          <w:sz w:val="32"/>
          <w:szCs w:val="28"/>
          <w:lang w:val="en-US" w:eastAsia="zh-CN"/>
        </w:rPr>
        <w:t>2022年度我单位获奖1个，达到年度指标值。</w:t>
      </w:r>
      <w:r>
        <w:rPr>
          <w:rFonts w:hint="eastAsia" w:ascii="Times New Roman" w:hAnsi="宋体" w:eastAsia="仿宋_GB2312" w:cstheme="minorBidi"/>
          <w:kern w:val="2"/>
          <w:sz w:val="32"/>
          <w:szCs w:val="28"/>
          <w:lang w:val="en-US" w:eastAsia="zh-CN" w:bidi="ar-SA"/>
        </w:rPr>
        <w:t>该指标分值4分，自评得分为4分，得分率为100%。</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hAnsi="宋体" w:eastAsia="仿宋_GB2312" w:cstheme="minorBidi"/>
          <w:kern w:val="2"/>
          <w:sz w:val="32"/>
          <w:szCs w:val="28"/>
          <w:lang w:val="en-US" w:eastAsia="zh-CN" w:bidi="ar-SA"/>
        </w:rPr>
      </w:pPr>
      <w:r>
        <w:rPr>
          <w:rFonts w:hint="eastAsia" w:ascii="Times New Roman" w:eastAsia="仿宋_GB2312"/>
          <w:b/>
          <w:bCs/>
          <w:sz w:val="32"/>
          <w:lang w:val="en-US" w:eastAsia="zh-CN"/>
        </w:rPr>
        <w:t>维护社会稳定：</w:t>
      </w:r>
      <w:r>
        <w:rPr>
          <w:rFonts w:hint="eastAsia" w:ascii="Times New Roman" w:eastAsia="仿宋_GB2312"/>
          <w:sz w:val="32"/>
          <w:highlight w:val="none"/>
          <w:lang w:val="en-US" w:eastAsia="zh-CN"/>
        </w:rPr>
        <w:t>民事审判工作始终坚持公正与效率的工作主题，坚持法律效果与社会效果相统一，坚持化解群众矛盾与维护社会稳定相结合，坚持“调解优先、调判结合”的原则，全面贯彻试行《民法典》和新修订的《民事诉讼法》及最高人民法院《关于民事诉讼证据的若干规定》等相关规定</w:t>
      </w:r>
      <w:r>
        <w:rPr>
          <w:rFonts w:hint="eastAsia" w:ascii="Times New Roman" w:hAnsi="宋体" w:eastAsia="仿宋_GB2312"/>
          <w:sz w:val="32"/>
          <w:szCs w:val="28"/>
          <w:lang w:eastAsia="zh-CN"/>
        </w:rPr>
        <w:t>。</w:t>
      </w:r>
      <w:r>
        <w:rPr>
          <w:rFonts w:hint="eastAsia" w:ascii="Times New Roman" w:hAnsi="宋体" w:eastAsia="仿宋_GB2312" w:cstheme="minorBidi"/>
          <w:kern w:val="2"/>
          <w:sz w:val="32"/>
          <w:szCs w:val="28"/>
          <w:lang w:val="en-US" w:eastAsia="zh-CN" w:bidi="ar-SA"/>
        </w:rPr>
        <w:t>该指标分值4分，自评得分为4分，得分率为100%。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b/>
          <w:bCs/>
          <w:sz w:val="32"/>
          <w:lang w:val="en-US" w:eastAsia="zh-CN"/>
        </w:rPr>
      </w:pPr>
      <w:r>
        <w:rPr>
          <w:rFonts w:hint="eastAsia" w:ascii="Times New Roman" w:eastAsia="仿宋_GB2312"/>
          <w:b/>
          <w:bCs/>
          <w:sz w:val="32"/>
          <w:lang w:val="en-US" w:eastAsia="zh-CN"/>
        </w:rPr>
        <w:t>③生态效益指标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highlight w:val="none"/>
        </w:rPr>
      </w:pPr>
      <w:r>
        <w:rPr>
          <w:rFonts w:hint="eastAsia" w:ascii="Times New Roman" w:eastAsia="仿宋_GB2312"/>
          <w:sz w:val="32"/>
          <w:lang w:val="en-US" w:eastAsia="zh-CN"/>
        </w:rPr>
        <w:t>生态</w:t>
      </w:r>
      <w:r>
        <w:rPr>
          <w:rFonts w:hint="eastAsia" w:ascii="Times New Roman" w:eastAsia="仿宋_GB2312"/>
          <w:sz w:val="32"/>
        </w:rPr>
        <w:t>效益指标下设</w:t>
      </w:r>
      <w:r>
        <w:rPr>
          <w:rFonts w:hint="eastAsia" w:ascii="Times New Roman" w:eastAsia="仿宋_GB2312"/>
          <w:sz w:val="32"/>
          <w:lang w:val="en-US" w:eastAsia="zh-CN"/>
        </w:rPr>
        <w:t>1</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分值4</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val="en-US" w:eastAsia="zh-CN"/>
        </w:rPr>
        <w:t>4</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default" w:ascii="Times New Roman" w:hAnsi="宋体" w:eastAsia="仿宋_GB2312" w:cstheme="minorBidi"/>
          <w:b w:val="0"/>
          <w:bCs w:val="0"/>
          <w:kern w:val="2"/>
          <w:sz w:val="32"/>
          <w:szCs w:val="28"/>
          <w:lang w:val="en-US" w:eastAsia="zh-CN" w:bidi="ar-SA"/>
        </w:rPr>
      </w:pPr>
      <w:r>
        <w:rPr>
          <w:rFonts w:hint="default" w:ascii="Times New Roman" w:hAnsi="宋体" w:eastAsia="仿宋_GB2312" w:cstheme="minorBidi"/>
          <w:b/>
          <w:bCs/>
          <w:kern w:val="2"/>
          <w:sz w:val="32"/>
          <w:szCs w:val="28"/>
          <w:lang w:val="en-US" w:eastAsia="zh-CN" w:bidi="ar-SA"/>
        </w:rPr>
        <w:t>维修材料符合标准</w:t>
      </w:r>
      <w:r>
        <w:rPr>
          <w:rFonts w:hint="eastAsia" w:ascii="Times New Roman" w:hAnsi="宋体" w:eastAsia="仿宋_GB2312" w:cstheme="minorBidi"/>
          <w:b/>
          <w:bCs/>
          <w:kern w:val="2"/>
          <w:sz w:val="32"/>
          <w:szCs w:val="28"/>
          <w:lang w:val="en-US" w:eastAsia="zh-CN" w:bidi="ar-SA"/>
        </w:rPr>
        <w:t>：</w:t>
      </w:r>
      <w:r>
        <w:rPr>
          <w:rFonts w:hint="eastAsia" w:ascii="Times New Roman" w:hAnsi="宋体" w:eastAsia="仿宋_GB2312" w:cstheme="minorBidi"/>
          <w:b w:val="0"/>
          <w:bCs w:val="0"/>
          <w:kern w:val="2"/>
          <w:sz w:val="32"/>
          <w:szCs w:val="28"/>
          <w:lang w:val="en-US" w:eastAsia="zh-CN" w:bidi="ar-SA"/>
        </w:rPr>
        <w:t>我院所有采购维修材料均符合标准，达到既定目标。该指标分值4分，自评得分4分。得分率为100%。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default" w:ascii="Times New Roman" w:eastAsia="仿宋_GB2312"/>
          <w:b/>
          <w:bCs/>
          <w:sz w:val="32"/>
          <w:lang w:val="en-US" w:eastAsia="zh-CN"/>
        </w:rPr>
      </w:pPr>
      <w:r>
        <w:rPr>
          <w:rFonts w:hint="eastAsia" w:ascii="Times New Roman" w:eastAsia="仿宋_GB2312"/>
          <w:b/>
          <w:bCs/>
          <w:sz w:val="32"/>
          <w:lang w:val="en-US" w:eastAsia="zh-CN"/>
        </w:rPr>
        <w:t>④可持续影响指标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highlight w:val="none"/>
        </w:rPr>
      </w:pPr>
      <w:r>
        <w:rPr>
          <w:rFonts w:hint="eastAsia" w:ascii="Times New Roman" w:eastAsia="仿宋_GB2312"/>
          <w:sz w:val="32"/>
          <w:lang w:val="en-US" w:eastAsia="zh-CN"/>
        </w:rPr>
        <w:t>可持续影响</w:t>
      </w:r>
      <w:r>
        <w:rPr>
          <w:rFonts w:hint="eastAsia" w:ascii="Times New Roman" w:eastAsia="仿宋_GB2312"/>
          <w:sz w:val="32"/>
        </w:rPr>
        <w:t>指标下设</w:t>
      </w:r>
      <w:r>
        <w:rPr>
          <w:rFonts w:hint="eastAsia" w:ascii="Times New Roman" w:eastAsia="仿宋_GB2312"/>
          <w:sz w:val="32"/>
          <w:lang w:val="en-US" w:eastAsia="zh-CN"/>
        </w:rPr>
        <w:t>2</w:t>
      </w:r>
      <w:r>
        <w:rPr>
          <w:rFonts w:hint="eastAsia" w:ascii="Times New Roman" w:eastAsia="仿宋_GB2312"/>
          <w:sz w:val="32"/>
        </w:rPr>
        <w:t>个三级指标，</w:t>
      </w:r>
      <w:r>
        <w:rPr>
          <w:rFonts w:hint="eastAsia" w:ascii="Times New Roman" w:hAnsi="宋体" w:eastAsia="仿宋_GB2312"/>
          <w:sz w:val="32"/>
          <w:szCs w:val="28"/>
        </w:rPr>
        <w:t>指标</w:t>
      </w:r>
      <w:r>
        <w:rPr>
          <w:rFonts w:hint="eastAsia" w:ascii="Times New Roman" w:hAnsi="宋体" w:eastAsia="仿宋_GB2312"/>
          <w:sz w:val="32"/>
          <w:szCs w:val="28"/>
          <w:lang w:val="en-US" w:eastAsia="zh-CN"/>
        </w:rPr>
        <w:t>分值8</w:t>
      </w:r>
      <w:r>
        <w:rPr>
          <w:rFonts w:hint="eastAsia" w:ascii="Times New Roman" w:hAnsi="宋体" w:eastAsia="仿宋_GB2312"/>
          <w:sz w:val="32"/>
          <w:szCs w:val="28"/>
          <w:highlight w:val="none"/>
        </w:rPr>
        <w:t>分，自评得分</w:t>
      </w:r>
      <w:r>
        <w:rPr>
          <w:rFonts w:hint="eastAsia" w:ascii="Times New Roman" w:hAnsi="宋体" w:eastAsia="仿宋_GB2312"/>
          <w:sz w:val="32"/>
          <w:szCs w:val="28"/>
          <w:highlight w:val="none"/>
          <w:lang w:val="en-US" w:eastAsia="zh-CN"/>
        </w:rPr>
        <w:t>8</w:t>
      </w:r>
      <w:r>
        <w:rPr>
          <w:rFonts w:hint="eastAsia" w:ascii="Times New Roman" w:hAnsi="宋体" w:eastAsia="仿宋_GB2312"/>
          <w:sz w:val="32"/>
          <w:szCs w:val="28"/>
          <w:highlight w:val="none"/>
        </w:rPr>
        <w:t>分，得分率为</w:t>
      </w:r>
      <w:r>
        <w:rPr>
          <w:rFonts w:hint="eastAsia" w:ascii="Times New Roman" w:hAnsi="宋体" w:eastAsia="仿宋_GB2312"/>
          <w:sz w:val="32"/>
          <w:szCs w:val="28"/>
          <w:highlight w:val="none"/>
          <w:lang w:val="en-US" w:eastAsia="zh-CN"/>
        </w:rPr>
        <w:t>100</w:t>
      </w:r>
      <w:r>
        <w:rPr>
          <w:rFonts w:hint="eastAsia" w:ascii="Times New Roman" w:hAnsi="宋体" w:eastAsia="仿宋_GB2312"/>
          <w:sz w:val="32"/>
          <w:szCs w:val="28"/>
          <w:highlight w:val="none"/>
        </w:rPr>
        <w:t>%。</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hAnsi="宋体" w:eastAsia="仿宋_GB2312" w:cstheme="minorBidi"/>
          <w:kern w:val="2"/>
          <w:sz w:val="32"/>
          <w:szCs w:val="28"/>
          <w:highlight w:val="none"/>
          <w:lang w:val="en-US" w:eastAsia="zh-CN" w:bidi="ar-SA"/>
        </w:rPr>
      </w:pPr>
      <w:r>
        <w:rPr>
          <w:rFonts w:hint="eastAsia" w:ascii="Times New Roman" w:hAnsi="宋体" w:eastAsia="仿宋_GB2312" w:cstheme="minorBidi"/>
          <w:b/>
          <w:bCs/>
          <w:kern w:val="2"/>
          <w:sz w:val="32"/>
          <w:szCs w:val="28"/>
          <w:lang w:val="en-US" w:eastAsia="zh-CN" w:bidi="ar-SA"/>
        </w:rPr>
        <w:t>机构健全性：</w:t>
      </w:r>
      <w:r>
        <w:rPr>
          <w:rFonts w:hint="eastAsia" w:ascii="Times New Roman" w:hAnsi="宋体" w:eastAsia="仿宋_GB2312" w:cstheme="minorBidi"/>
          <w:kern w:val="2"/>
          <w:sz w:val="32"/>
          <w:szCs w:val="28"/>
          <w:lang w:val="en-US" w:eastAsia="zh-CN" w:bidi="ar-SA"/>
        </w:rPr>
        <w:t>我院含有内设机构9个。包括政治部、执行局、综合办公室、审判管理办公室、诉讼服务中心、刑事审判庭、民事审判庭、综合庭、督察室。机构设置健全。该指标分值4分，自评得分为4分，得分率为100%。</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hAnsi="宋体" w:eastAsia="仿宋_GB2312" w:cstheme="minorBidi"/>
          <w:kern w:val="2"/>
          <w:sz w:val="32"/>
          <w:szCs w:val="28"/>
          <w:lang w:val="en-US" w:eastAsia="zh-CN" w:bidi="ar-SA"/>
        </w:rPr>
      </w:pPr>
      <w:r>
        <w:rPr>
          <w:rFonts w:hint="eastAsia" w:ascii="Times New Roman" w:eastAsia="仿宋_GB2312"/>
          <w:b/>
          <w:bCs/>
          <w:sz w:val="32"/>
          <w:lang w:val="en-US" w:eastAsia="zh-CN"/>
        </w:rPr>
        <w:t>资金管理规范性：</w:t>
      </w:r>
      <w:r>
        <w:rPr>
          <w:rFonts w:hint="eastAsia" w:ascii="Times New Roman" w:hAnsi="宋体" w:eastAsia="仿宋_GB2312" w:cstheme="minorBidi"/>
          <w:kern w:val="2"/>
          <w:sz w:val="32"/>
          <w:szCs w:val="28"/>
          <w:lang w:val="en-US" w:eastAsia="zh-CN" w:bidi="ar-SA"/>
        </w:rPr>
        <w:t>我院资金支出总体上审批程序合规、手续齐全，支出内容符合省财政预算批复规定的用途，严格使用公务卡报销，有效提高了财务资金使用的合理性和规范性，防止了国有资金流失。该指标分值4分，</w:t>
      </w:r>
      <w:r>
        <w:rPr>
          <w:rFonts w:hint="eastAsia" w:ascii="Times New Roman" w:hAnsi="宋体" w:eastAsia="仿宋_GB2312" w:cstheme="minorBidi"/>
          <w:kern w:val="2"/>
          <w:sz w:val="32"/>
          <w:szCs w:val="28"/>
          <w:highlight w:val="none"/>
          <w:lang w:val="en-US" w:eastAsia="zh-CN" w:bidi="ar-SA"/>
        </w:rPr>
        <w:t>自评得分为4分，得分率为100%。</w:t>
      </w:r>
    </w:p>
    <w:p>
      <w:pPr>
        <w:pageBreakBefore w:val="0"/>
        <w:numPr>
          <w:ilvl w:val="255"/>
          <w:numId w:val="0"/>
        </w:numPr>
        <w:kinsoku/>
        <w:wordWrap/>
        <w:overflowPunct w:val="0"/>
        <w:topLinePunct w:val="0"/>
        <w:bidi w:val="0"/>
        <w:snapToGrid/>
        <w:spacing w:beforeAutospacing="0" w:afterAutospacing="0" w:line="560" w:lineRule="exact"/>
        <w:ind w:left="0" w:leftChars="0" w:firstLine="643" w:firstLineChars="200"/>
        <w:rPr>
          <w:rFonts w:ascii="Times New Roman" w:eastAsia="仿宋_GB2312"/>
          <w:b/>
          <w:bCs/>
          <w:sz w:val="32"/>
          <w:szCs w:val="28"/>
        </w:rPr>
      </w:pPr>
      <w:r>
        <w:rPr>
          <w:rFonts w:hint="eastAsia" w:ascii="Times New Roman" w:eastAsia="仿宋_GB2312"/>
          <w:b/>
          <w:bCs/>
          <w:sz w:val="32"/>
          <w:szCs w:val="28"/>
        </w:rPr>
        <w:t>（3）满意度指标</w:t>
      </w:r>
    </w:p>
    <w:p>
      <w:pPr>
        <w:pageBreakBefore w:val="0"/>
        <w:kinsoku/>
        <w:wordWrap/>
        <w:overflowPunct w:val="0"/>
        <w:topLinePunct w:val="0"/>
        <w:bidi w:val="0"/>
        <w:snapToGrid/>
        <w:spacing w:beforeAutospacing="0" w:afterAutospacing="0" w:line="560" w:lineRule="exact"/>
        <w:ind w:left="0" w:leftChars="0" w:firstLine="640" w:firstLineChars="200"/>
        <w:rPr>
          <w:rFonts w:hint="eastAsia" w:ascii="Times New Roman" w:hAnsi="宋体" w:eastAsia="仿宋_GB2312"/>
          <w:sz w:val="32"/>
          <w:szCs w:val="28"/>
        </w:rPr>
      </w:pPr>
      <w:r>
        <w:rPr>
          <w:rFonts w:hint="eastAsia" w:ascii="Times New Roman" w:hAnsi="宋体" w:eastAsia="仿宋_GB2312"/>
          <w:sz w:val="32"/>
          <w:szCs w:val="28"/>
        </w:rPr>
        <w:t>根据</w:t>
      </w:r>
      <w:r>
        <w:rPr>
          <w:rFonts w:hint="eastAsia" w:ascii="Times New Roman" w:hAnsi="宋体" w:eastAsia="仿宋_GB2312"/>
          <w:sz w:val="32"/>
          <w:szCs w:val="28"/>
          <w:lang w:eastAsia="zh-CN"/>
        </w:rPr>
        <w:t>我院</w:t>
      </w:r>
      <w:r>
        <w:rPr>
          <w:rFonts w:hint="eastAsia" w:ascii="Times New Roman" w:hAnsi="宋体" w:eastAsia="仿宋_GB2312"/>
          <w:sz w:val="32"/>
          <w:szCs w:val="28"/>
        </w:rPr>
        <w:t>向社会提供公共产品和服务的主要对象，服务对象满意度主要</w:t>
      </w:r>
      <w:r>
        <w:rPr>
          <w:rFonts w:hint="eastAsia" w:ascii="Times New Roman" w:hAnsi="宋体" w:eastAsia="仿宋_GB2312"/>
          <w:sz w:val="32"/>
          <w:szCs w:val="28"/>
          <w:lang w:val="en-US" w:eastAsia="zh-CN"/>
        </w:rPr>
        <w:t>为当事人满意度和干警</w:t>
      </w:r>
      <w:r>
        <w:rPr>
          <w:rFonts w:hint="eastAsia" w:ascii="Times New Roman" w:hAnsi="宋体" w:eastAsia="仿宋_GB2312"/>
          <w:sz w:val="32"/>
          <w:szCs w:val="28"/>
        </w:rPr>
        <w:t>满意度，该指标分值合计10分，自评得分</w:t>
      </w:r>
      <w:r>
        <w:rPr>
          <w:rFonts w:hint="eastAsia" w:ascii="Times New Roman" w:hAnsi="宋体" w:eastAsia="仿宋_GB2312"/>
          <w:sz w:val="32"/>
          <w:szCs w:val="28"/>
          <w:lang w:val="en-US" w:eastAsia="zh-CN"/>
        </w:rPr>
        <w:t>10</w:t>
      </w:r>
      <w:r>
        <w:rPr>
          <w:rFonts w:hint="eastAsia" w:ascii="Times New Roman" w:hAnsi="宋体" w:eastAsia="仿宋_GB2312"/>
          <w:sz w:val="32"/>
          <w:szCs w:val="28"/>
        </w:rPr>
        <w:t>分，得分率为</w:t>
      </w:r>
      <w:r>
        <w:rPr>
          <w:rFonts w:hint="eastAsia" w:ascii="Times New Roman" w:hAnsi="宋体" w:eastAsia="仿宋_GB2312"/>
          <w:sz w:val="32"/>
          <w:szCs w:val="28"/>
          <w:lang w:val="en-US" w:eastAsia="zh-CN"/>
        </w:rPr>
        <w:t>100</w:t>
      </w:r>
      <w:r>
        <w:rPr>
          <w:rFonts w:hint="eastAsia" w:ascii="Times New Roman" w:hAnsi="宋体" w:eastAsia="仿宋_GB2312"/>
          <w:sz w:val="32"/>
          <w:szCs w:val="28"/>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rPr>
          <w:rFonts w:hint="eastAsia" w:ascii="Times New Roman" w:hAnsi="宋体" w:eastAsia="仿宋_GB2312" w:cstheme="minorBidi"/>
          <w:kern w:val="2"/>
          <w:sz w:val="32"/>
          <w:szCs w:val="28"/>
          <w:highlight w:val="none"/>
          <w:lang w:val="en-US" w:eastAsia="zh-CN" w:bidi="ar-SA"/>
        </w:rPr>
      </w:pPr>
      <w:r>
        <w:rPr>
          <w:rFonts w:hint="eastAsia" w:ascii="Times New Roman" w:hAnsi="宋体" w:eastAsia="仿宋_GB2312"/>
          <w:b/>
          <w:bCs/>
          <w:sz w:val="32"/>
          <w:szCs w:val="28"/>
          <w:lang w:val="en-US" w:eastAsia="zh-CN"/>
        </w:rPr>
        <w:t>当事人满意度：</w:t>
      </w:r>
      <w:r>
        <w:rPr>
          <w:rFonts w:hint="eastAsia" w:ascii="Times New Roman" w:eastAsia="仿宋_GB2312"/>
          <w:sz w:val="32"/>
          <w:highlight w:val="none"/>
        </w:rPr>
        <w:t>我院积极审判各类案件，保障人民群众合法权益，从人员配置到</w:t>
      </w:r>
      <w:r>
        <w:rPr>
          <w:rFonts w:hint="eastAsia" w:ascii="Times New Roman" w:eastAsia="仿宋_GB2312"/>
          <w:sz w:val="32"/>
        </w:rPr>
        <w:t>案件审理公正性以及案件执行力度着手，法院的一切工作最终都是为人民群众服务，只有得到人民群众认可，法院的相关工作才能得到人民群众的支持，</w:t>
      </w:r>
      <w:r>
        <w:rPr>
          <w:rFonts w:hint="eastAsia" w:ascii="Times New Roman" w:eastAsia="仿宋_GB2312"/>
          <w:sz w:val="32"/>
          <w:lang w:val="en-US" w:eastAsia="zh-CN"/>
        </w:rPr>
        <w:t>当事人</w:t>
      </w:r>
      <w:r>
        <w:rPr>
          <w:rFonts w:hint="eastAsia" w:ascii="Times New Roman" w:eastAsia="仿宋_GB2312"/>
          <w:sz w:val="32"/>
        </w:rPr>
        <w:t>满意度达到</w:t>
      </w:r>
      <w:r>
        <w:rPr>
          <w:rFonts w:hint="eastAsia" w:ascii="Times New Roman"/>
          <w:sz w:val="32"/>
          <w:lang w:val="en-US" w:eastAsia="zh-CN"/>
        </w:rPr>
        <w:t>98</w:t>
      </w:r>
      <w:r>
        <w:rPr>
          <w:rFonts w:hint="eastAsia" w:ascii="Times New Roman" w:eastAsia="仿宋_GB2312"/>
          <w:sz w:val="32"/>
        </w:rPr>
        <w:t>%</w:t>
      </w:r>
      <w:r>
        <w:rPr>
          <w:rFonts w:hint="eastAsia" w:ascii="Times New Roman" w:eastAsia="仿宋_GB2312"/>
          <w:sz w:val="32"/>
          <w:lang w:eastAsia="zh-CN"/>
        </w:rPr>
        <w:t>。</w:t>
      </w:r>
      <w:r>
        <w:rPr>
          <w:rFonts w:hint="eastAsia" w:ascii="Times New Roman" w:hAnsi="宋体" w:eastAsia="仿宋_GB2312" w:cstheme="minorBidi"/>
          <w:kern w:val="2"/>
          <w:sz w:val="32"/>
          <w:szCs w:val="28"/>
          <w:lang w:val="en-US" w:eastAsia="zh-CN" w:bidi="ar-SA"/>
        </w:rPr>
        <w:t>该指标分值5分，</w:t>
      </w:r>
      <w:r>
        <w:rPr>
          <w:rFonts w:hint="eastAsia" w:ascii="Times New Roman" w:hAnsi="宋体" w:eastAsia="仿宋_GB2312" w:cstheme="minorBidi"/>
          <w:kern w:val="2"/>
          <w:sz w:val="32"/>
          <w:szCs w:val="28"/>
          <w:highlight w:val="none"/>
          <w:lang w:val="en-US" w:eastAsia="zh-CN" w:bidi="ar-SA"/>
        </w:rPr>
        <w:t>自评得分为5分，得分率为100%。</w:t>
      </w:r>
    </w:p>
    <w:p>
      <w:pPr>
        <w:pageBreakBefore w:val="0"/>
        <w:kinsoku/>
        <w:wordWrap/>
        <w:overflowPunct w:val="0"/>
        <w:topLinePunct w:val="0"/>
        <w:bidi w:val="0"/>
        <w:snapToGrid/>
        <w:spacing w:beforeAutospacing="0" w:afterAutospacing="0" w:line="560" w:lineRule="exact"/>
        <w:ind w:left="0" w:leftChars="0" w:firstLine="643" w:firstLineChars="200"/>
        <w:rPr>
          <w:rFonts w:hint="eastAsia" w:ascii="Times New Roman" w:eastAsia="仿宋_GB2312"/>
          <w:sz w:val="32"/>
          <w:lang w:val="en-US" w:eastAsia="zh-CN"/>
        </w:rPr>
      </w:pPr>
      <w:r>
        <w:rPr>
          <w:rFonts w:hint="eastAsia" w:ascii="Times New Roman" w:hAnsi="宋体" w:eastAsia="仿宋_GB2312"/>
          <w:b/>
          <w:bCs/>
          <w:sz w:val="32"/>
          <w:szCs w:val="28"/>
          <w:lang w:val="en-US" w:eastAsia="zh-CN"/>
        </w:rPr>
        <w:t>干警满意度</w:t>
      </w:r>
      <w:r>
        <w:rPr>
          <w:rFonts w:hint="eastAsia" w:ascii="Times New Roman" w:hAnsi="宋体" w:eastAsia="仿宋_GB2312"/>
          <w:b/>
          <w:bCs/>
          <w:sz w:val="32"/>
          <w:szCs w:val="28"/>
        </w:rPr>
        <w:t>：</w:t>
      </w:r>
      <w:r>
        <w:rPr>
          <w:rFonts w:hint="eastAsia" w:ascii="Times New Roman" w:eastAsia="仿宋_GB2312"/>
          <w:sz w:val="32"/>
          <w:highlight w:val="none"/>
        </w:rPr>
        <w:t>我院积极审判各类案件，保障人民群众合法权益，从人员配置到</w:t>
      </w:r>
      <w:r>
        <w:rPr>
          <w:rFonts w:hint="eastAsia" w:ascii="Times New Roman" w:eastAsia="仿宋_GB2312"/>
          <w:sz w:val="32"/>
        </w:rPr>
        <w:t>案件审理公正性以及案件执行力度着手，法院的一切工作最终都是为人民群众服务，只有得到人民群众认可，法院的相关工作才能得到人民群众的支持，</w:t>
      </w:r>
      <w:r>
        <w:rPr>
          <w:rFonts w:hint="eastAsia" w:ascii="Times New Roman" w:eastAsia="仿宋_GB2312"/>
          <w:sz w:val="32"/>
          <w:lang w:val="en-US" w:eastAsia="zh-CN"/>
        </w:rPr>
        <w:t>当事人</w:t>
      </w:r>
      <w:r>
        <w:rPr>
          <w:rFonts w:hint="eastAsia" w:ascii="Times New Roman" w:eastAsia="仿宋_GB2312"/>
          <w:sz w:val="32"/>
        </w:rPr>
        <w:t>满意度达到</w:t>
      </w:r>
      <w:r>
        <w:rPr>
          <w:rFonts w:hint="eastAsia" w:ascii="Times New Roman"/>
          <w:sz w:val="32"/>
          <w:lang w:val="en-US" w:eastAsia="zh-CN"/>
        </w:rPr>
        <w:t>95</w:t>
      </w:r>
      <w:r>
        <w:rPr>
          <w:rFonts w:hint="eastAsia" w:ascii="Times New Roman" w:eastAsia="仿宋_GB2312"/>
          <w:sz w:val="32"/>
        </w:rPr>
        <w:t>%</w:t>
      </w:r>
      <w:r>
        <w:rPr>
          <w:rFonts w:hint="eastAsia" w:ascii="Times New Roman" w:eastAsia="仿宋_GB2312"/>
          <w:sz w:val="32"/>
          <w:lang w:eastAsia="zh-CN"/>
        </w:rPr>
        <w:t>。</w:t>
      </w:r>
      <w:r>
        <w:rPr>
          <w:rFonts w:hint="eastAsia" w:ascii="Times New Roman" w:hAnsi="宋体" w:eastAsia="仿宋_GB2312" w:cstheme="minorBidi"/>
          <w:kern w:val="2"/>
          <w:sz w:val="32"/>
          <w:szCs w:val="28"/>
          <w:highlight w:val="none"/>
          <w:lang w:val="en-US" w:eastAsia="zh-CN" w:bidi="ar-SA"/>
        </w:rPr>
        <w:t>该指标分值5分，自评得分为5分，得分率为100%。</w:t>
      </w:r>
    </w:p>
    <w:p>
      <w:pPr>
        <w:pStyle w:val="5"/>
        <w:pageBreakBefore w:val="0"/>
        <w:kinsoku/>
        <w:wordWrap/>
        <w:overflowPunct w:val="0"/>
        <w:topLinePunct w:val="0"/>
        <w:bidi w:val="0"/>
        <w:snapToGrid/>
        <w:spacing w:beforeAutospacing="0" w:afterAutospacing="0" w:line="560" w:lineRule="exact"/>
        <w:ind w:left="0" w:leftChars="0" w:right="0" w:rightChars="0" w:firstLine="643" w:firstLineChars="200"/>
        <w:jc w:val="both"/>
        <w:outlineLvl w:val="2"/>
        <w:rPr>
          <w:rFonts w:hint="eastAsia" w:ascii="Times New Roman" w:eastAsia="仿宋_GB2312"/>
          <w:b/>
          <w:sz w:val="32"/>
        </w:rPr>
      </w:pPr>
      <w:r>
        <w:rPr>
          <w:rFonts w:hint="eastAsia" w:ascii="Times New Roman" w:eastAsia="仿宋_GB2312"/>
          <w:b/>
          <w:sz w:val="32"/>
        </w:rPr>
        <w:t>4</w:t>
      </w:r>
      <w:r>
        <w:rPr>
          <w:rFonts w:hint="eastAsia" w:ascii="Times New Roman" w:eastAsia="仿宋_GB2312"/>
          <w:b/>
          <w:sz w:val="32"/>
          <w:lang w:eastAsia="zh-CN"/>
        </w:rPr>
        <w:t>.</w:t>
      </w:r>
      <w:r>
        <w:rPr>
          <w:rFonts w:hint="eastAsia" w:ascii="Times New Roman" w:eastAsia="仿宋_GB2312"/>
          <w:b/>
          <w:sz w:val="32"/>
        </w:rPr>
        <w:t>偏离绩效目标的原因及下一步改进措施</w:t>
      </w:r>
    </w:p>
    <w:p>
      <w:pPr>
        <w:snapToGrid/>
        <w:spacing w:beforeAutospacing="0" w:afterAutospacing="0" w:line="560" w:lineRule="exact"/>
        <w:ind w:left="0" w:leftChars="0" w:firstLine="640" w:firstLineChars="200"/>
        <w:rPr>
          <w:rFonts w:hint="eastAsia" w:ascii="Times New Roman" w:eastAsia="仿宋_GB2312"/>
          <w:sz w:val="32"/>
          <w:lang w:val="en-US" w:eastAsia="zh-CN"/>
        </w:rPr>
      </w:pPr>
      <w:r>
        <w:rPr>
          <w:rFonts w:hint="eastAsia" w:ascii="Times New Roman" w:eastAsia="仿宋_GB2312"/>
          <w:sz w:val="32"/>
          <w:lang w:val="en-US" w:eastAsia="zh-CN"/>
        </w:rPr>
        <w:t>无</w:t>
      </w:r>
      <w:r>
        <w:rPr>
          <w:rFonts w:hint="eastAsia" w:ascii="Times New Roman"/>
          <w:sz w:val="32"/>
          <w:lang w:val="en-US" w:eastAsia="zh-CN"/>
        </w:rPr>
        <w:t>偏差</w:t>
      </w:r>
      <w:r>
        <w:rPr>
          <w:rFonts w:hint="eastAsia" w:ascii="Times New Roman" w:eastAsia="仿宋_GB2312"/>
          <w:sz w:val="32"/>
          <w:lang w:val="en-US" w:eastAsia="zh-CN"/>
        </w:rPr>
        <w:t>。</w:t>
      </w:r>
    </w:p>
    <w:p>
      <w:pPr>
        <w:pStyle w:val="3"/>
        <w:pageBreakBefore w:val="0"/>
        <w:kinsoku/>
        <w:wordWrap/>
        <w:overflowPunct w:val="0"/>
        <w:topLinePunct w:val="0"/>
        <w:bidi w:val="0"/>
        <w:snapToGrid/>
        <w:spacing w:before="0" w:beforeAutospacing="0" w:after="0" w:afterAutospacing="0" w:line="560" w:lineRule="exact"/>
        <w:ind w:left="0" w:leftChars="0" w:right="0" w:rightChars="0" w:firstLine="643" w:firstLineChars="200"/>
        <w:jc w:val="both"/>
        <w:outlineLvl w:val="0"/>
        <w:rPr>
          <w:rFonts w:ascii="Times New Roman" w:eastAsia="黑体"/>
          <w:b/>
          <w:sz w:val="32"/>
        </w:rPr>
      </w:pPr>
      <w:bookmarkStart w:id="105" w:name="_Toc8248"/>
      <w:r>
        <w:rPr>
          <w:rFonts w:hint="eastAsia" w:ascii="Times New Roman" w:eastAsia="黑体"/>
          <w:b/>
          <w:sz w:val="32"/>
        </w:rPr>
        <w:t>六、绩效自评结果拟应用和公开情况</w:t>
      </w:r>
      <w:bookmarkEnd w:id="95"/>
      <w:bookmarkEnd w:id="96"/>
      <w:bookmarkEnd w:id="102"/>
      <w:bookmarkEnd w:id="103"/>
      <w:bookmarkEnd w:id="104"/>
      <w:bookmarkEnd w:id="105"/>
    </w:p>
    <w:p>
      <w:pPr>
        <w:pageBreakBefore w:val="0"/>
        <w:widowControl/>
        <w:kinsoku/>
        <w:wordWrap/>
        <w:overflowPunct w:val="0"/>
        <w:topLinePunct w:val="0"/>
        <w:bidi w:val="0"/>
        <w:snapToGrid/>
        <w:spacing w:beforeAutospacing="0" w:afterAutospacing="0" w:line="560" w:lineRule="exact"/>
        <w:ind w:left="0" w:leftChars="0" w:firstLine="640" w:firstLineChars="200"/>
        <w:jc w:val="left"/>
        <w:rPr>
          <w:rFonts w:ascii="Times New Roman" w:hAnsi="宋体" w:eastAsia="仿宋_GB2312"/>
          <w:sz w:val="32"/>
          <w:szCs w:val="28"/>
        </w:rPr>
      </w:pPr>
      <w:r>
        <w:rPr>
          <w:rFonts w:hint="eastAsia" w:ascii="Times New Roman" w:hAnsi="宋体" w:eastAsia="仿宋_GB2312"/>
          <w:sz w:val="32"/>
          <w:szCs w:val="28"/>
        </w:rPr>
        <w:t>绩效自评结果的应用是</w:t>
      </w:r>
      <w:r>
        <w:rPr>
          <w:rFonts w:hint="eastAsia" w:ascii="Times New Roman" w:hAnsi="宋体" w:eastAsia="仿宋_GB2312"/>
          <w:sz w:val="32"/>
          <w:szCs w:val="28"/>
          <w:lang w:eastAsia="zh-CN"/>
        </w:rPr>
        <w:t>部门</w:t>
      </w:r>
      <w:r>
        <w:rPr>
          <w:rFonts w:hint="eastAsia" w:ascii="Times New Roman" w:hAnsi="宋体" w:eastAsia="仿宋_GB2312"/>
          <w:sz w:val="32"/>
          <w:szCs w:val="28"/>
        </w:rPr>
        <w:t>完善政策和改进管理的重要依据，</w:t>
      </w:r>
      <w:r>
        <w:rPr>
          <w:rFonts w:hint="eastAsia" w:ascii="Times New Roman" w:hAnsi="宋体" w:eastAsia="仿宋_GB2312"/>
          <w:sz w:val="32"/>
          <w:szCs w:val="28"/>
          <w:lang w:eastAsia="zh-CN"/>
        </w:rPr>
        <w:t>部门</w:t>
      </w:r>
      <w:r>
        <w:rPr>
          <w:rFonts w:hint="eastAsia" w:ascii="Times New Roman" w:hAnsi="宋体" w:eastAsia="仿宋_GB2312"/>
          <w:sz w:val="32"/>
          <w:szCs w:val="28"/>
        </w:rPr>
        <w:t>要加强评价结果的应用。根据政策文件规定，</w:t>
      </w:r>
      <w:r>
        <w:rPr>
          <w:rFonts w:hint="eastAsia" w:ascii="Times New Roman" w:hAnsi="宋体" w:eastAsia="仿宋_GB2312"/>
          <w:sz w:val="32"/>
          <w:szCs w:val="28"/>
          <w:lang w:eastAsia="zh-CN"/>
        </w:rPr>
        <w:t>我院</w:t>
      </w:r>
      <w:r>
        <w:rPr>
          <w:rFonts w:hint="eastAsia" w:ascii="Times New Roman" w:hAnsi="宋体" w:eastAsia="仿宋_GB2312"/>
          <w:sz w:val="32"/>
          <w:szCs w:val="28"/>
        </w:rPr>
        <w:t>绩效自评结果将编入</w:t>
      </w:r>
      <w:r>
        <w:rPr>
          <w:rFonts w:hint="eastAsia" w:ascii="Times New Roman" w:hAnsi="宋体" w:eastAsia="仿宋_GB2312"/>
          <w:sz w:val="32"/>
          <w:szCs w:val="28"/>
          <w:lang w:eastAsia="zh-CN"/>
        </w:rPr>
        <w:t>202</w:t>
      </w:r>
      <w:r>
        <w:rPr>
          <w:rFonts w:hint="eastAsia" w:ascii="Times New Roman" w:hAnsi="宋体" w:eastAsia="仿宋_GB2312"/>
          <w:sz w:val="32"/>
          <w:szCs w:val="28"/>
          <w:lang w:val="en-US" w:eastAsia="zh-CN"/>
        </w:rPr>
        <w:t>2</w:t>
      </w:r>
      <w:r>
        <w:rPr>
          <w:rFonts w:hint="eastAsia" w:ascii="Times New Roman" w:hAnsi="宋体" w:eastAsia="仿宋_GB2312"/>
          <w:sz w:val="32"/>
          <w:szCs w:val="28"/>
        </w:rPr>
        <w:t>年度决算中，随同</w:t>
      </w:r>
      <w:r>
        <w:rPr>
          <w:rFonts w:hint="eastAsia" w:ascii="Times New Roman" w:hAnsi="宋体" w:eastAsia="仿宋_GB2312"/>
          <w:sz w:val="32"/>
          <w:szCs w:val="28"/>
          <w:lang w:eastAsia="zh-CN"/>
        </w:rPr>
        <w:t>202</w:t>
      </w:r>
      <w:r>
        <w:rPr>
          <w:rFonts w:hint="eastAsia" w:ascii="Times New Roman" w:hAnsi="宋体" w:eastAsia="仿宋_GB2312"/>
          <w:sz w:val="32"/>
          <w:szCs w:val="28"/>
          <w:lang w:val="en-US" w:eastAsia="zh-CN"/>
        </w:rPr>
        <w:t>2</w:t>
      </w:r>
      <w:r>
        <w:rPr>
          <w:rFonts w:hint="eastAsia" w:ascii="Times New Roman" w:hAnsi="宋体" w:eastAsia="仿宋_GB2312"/>
          <w:sz w:val="32"/>
          <w:szCs w:val="28"/>
        </w:rPr>
        <w:t>年度</w:t>
      </w:r>
      <w:r>
        <w:rPr>
          <w:rFonts w:hint="eastAsia" w:ascii="Times New Roman" w:hAnsi="宋体" w:eastAsia="仿宋_GB2312"/>
          <w:sz w:val="32"/>
          <w:szCs w:val="28"/>
          <w:lang w:eastAsia="zh-CN"/>
        </w:rPr>
        <w:t>部门</w:t>
      </w:r>
      <w:r>
        <w:rPr>
          <w:rFonts w:hint="eastAsia" w:ascii="Times New Roman" w:hAnsi="宋体" w:eastAsia="仿宋_GB2312"/>
          <w:sz w:val="32"/>
          <w:szCs w:val="28"/>
        </w:rPr>
        <w:t>决算同步公开。</w:t>
      </w:r>
    </w:p>
    <w:p>
      <w:pPr>
        <w:pStyle w:val="3"/>
        <w:pageBreakBefore w:val="0"/>
        <w:kinsoku/>
        <w:wordWrap/>
        <w:overflowPunct w:val="0"/>
        <w:topLinePunct w:val="0"/>
        <w:bidi w:val="0"/>
        <w:snapToGrid/>
        <w:spacing w:before="0" w:beforeAutospacing="0" w:after="0" w:afterAutospacing="0" w:line="560" w:lineRule="exact"/>
        <w:ind w:left="0" w:leftChars="0" w:right="0" w:rightChars="0" w:firstLine="643" w:firstLineChars="200"/>
        <w:jc w:val="both"/>
        <w:outlineLvl w:val="0"/>
        <w:rPr>
          <w:rFonts w:ascii="Times New Roman" w:eastAsia="黑体"/>
          <w:b/>
          <w:sz w:val="32"/>
        </w:rPr>
      </w:pPr>
      <w:bookmarkStart w:id="106" w:name="_Toc11251"/>
      <w:bookmarkStart w:id="107" w:name="_Toc6781"/>
      <w:bookmarkStart w:id="108" w:name="_Toc40046066"/>
      <w:bookmarkStart w:id="109" w:name="_Toc4491"/>
      <w:bookmarkStart w:id="110" w:name="_Toc17181"/>
      <w:bookmarkStart w:id="111" w:name="_Toc21490"/>
      <w:r>
        <w:rPr>
          <w:rFonts w:hint="eastAsia" w:ascii="Times New Roman" w:eastAsia="黑体"/>
          <w:b/>
          <w:sz w:val="32"/>
        </w:rPr>
        <w:t>七、其他需要说明的问题</w:t>
      </w:r>
      <w:bookmarkEnd w:id="106"/>
      <w:bookmarkEnd w:id="107"/>
      <w:bookmarkEnd w:id="108"/>
      <w:bookmarkEnd w:id="109"/>
      <w:bookmarkEnd w:id="110"/>
      <w:bookmarkEnd w:id="111"/>
    </w:p>
    <w:p>
      <w:pPr>
        <w:pStyle w:val="28"/>
        <w:keepNext w:val="0"/>
        <w:keepLines w:val="0"/>
        <w:pageBreakBefore w:val="0"/>
        <w:widowControl/>
        <w:kinsoku/>
        <w:wordWrap/>
        <w:overflowPunct w:val="0"/>
        <w:topLinePunct w:val="0"/>
        <w:autoSpaceDE/>
        <w:autoSpaceDN/>
        <w:bidi w:val="0"/>
        <w:adjustRightInd/>
        <w:snapToGrid/>
        <w:spacing w:line="240" w:lineRule="auto"/>
        <w:ind w:left="0" w:leftChars="0" w:firstLine="640" w:firstLineChars="200"/>
        <w:textAlignment w:val="baseline"/>
      </w:pPr>
      <w:r>
        <w:rPr>
          <w:rFonts w:hint="eastAsia" w:ascii="Times New Roman" w:hAnsi="宋体" w:eastAsia="仿宋_GB2312"/>
          <w:sz w:val="32"/>
          <w:szCs w:val="28"/>
        </w:rPr>
        <w:t>无</w:t>
      </w:r>
      <w:r>
        <w:rPr>
          <w:rFonts w:hint="eastAsia" w:ascii="Times New Roman" w:hAnsi="宋体" w:eastAsia="仿宋_GB2312"/>
          <w:sz w:val="32"/>
          <w:szCs w:val="28"/>
          <w:lang w:eastAsia="zh-CN"/>
        </w:rPr>
        <w:t>。</w:t>
      </w:r>
    </w:p>
    <w:p>
      <w:pPr>
        <w:pageBreakBefore w:val="0"/>
        <w:widowControl/>
        <w:kinsoku/>
        <w:wordWrap/>
        <w:overflowPunct w:val="0"/>
        <w:topLinePunct w:val="0"/>
        <w:bidi w:val="0"/>
        <w:snapToGrid/>
        <w:spacing w:beforeAutospacing="0" w:afterAutospacing="0" w:line="560" w:lineRule="exact"/>
        <w:ind w:left="0" w:leftChars="0" w:firstLine="640" w:firstLineChars="200"/>
        <w:jc w:val="both"/>
        <w:rPr>
          <w:rFonts w:hint="eastAsia" w:ascii="Times New Roman" w:hAnsi="宋体" w:eastAsia="仿宋_GB2312"/>
          <w:sz w:val="32"/>
          <w:szCs w:val="32"/>
          <w:lang w:val="en-US" w:eastAsia="zh-CN"/>
        </w:rPr>
      </w:pPr>
      <w:bookmarkStart w:id="112" w:name="_Toc5078"/>
      <w:bookmarkStart w:id="113" w:name="_Toc27889"/>
    </w:p>
    <w:p>
      <w:pPr>
        <w:pageBreakBefore w:val="0"/>
        <w:widowControl/>
        <w:kinsoku/>
        <w:wordWrap/>
        <w:overflowPunct w:val="0"/>
        <w:topLinePunct w:val="0"/>
        <w:bidi w:val="0"/>
        <w:snapToGrid/>
        <w:spacing w:beforeAutospacing="0" w:afterAutospacing="0" w:line="560" w:lineRule="exact"/>
        <w:ind w:left="0" w:leftChars="0" w:firstLine="640" w:firstLineChars="200"/>
        <w:jc w:val="both"/>
        <w:rPr>
          <w:rFonts w:hint="eastAsia" w:ascii="Times New Roman" w:hAnsi="宋体" w:eastAsia="仿宋_GB2312"/>
          <w:sz w:val="32"/>
          <w:szCs w:val="32"/>
          <w:lang w:val="en-US" w:eastAsia="zh-CN"/>
        </w:rPr>
      </w:pPr>
    </w:p>
    <w:p>
      <w:pPr>
        <w:pageBreakBefore w:val="0"/>
        <w:widowControl/>
        <w:kinsoku/>
        <w:wordWrap/>
        <w:overflowPunct w:val="0"/>
        <w:topLinePunct w:val="0"/>
        <w:bidi w:val="0"/>
        <w:snapToGrid/>
        <w:spacing w:beforeAutospacing="0" w:afterAutospacing="0" w:line="560" w:lineRule="exact"/>
        <w:ind w:left="0" w:leftChars="0" w:firstLine="640" w:firstLineChars="200"/>
        <w:jc w:val="both"/>
        <w:rPr>
          <w:rFonts w:hint="eastAsia" w:ascii="Times New Roman" w:hAnsi="宋体" w:eastAsia="仿宋_GB2312"/>
          <w:sz w:val="32"/>
          <w:szCs w:val="32"/>
          <w:lang w:val="en-US" w:eastAsia="zh-CN"/>
        </w:rPr>
      </w:pPr>
    </w:p>
    <w:p>
      <w:pPr>
        <w:pageBreakBefore w:val="0"/>
        <w:widowControl/>
        <w:kinsoku/>
        <w:wordWrap/>
        <w:overflowPunct w:val="0"/>
        <w:topLinePunct w:val="0"/>
        <w:bidi w:val="0"/>
        <w:snapToGrid/>
        <w:spacing w:beforeAutospacing="0" w:afterAutospacing="0" w:line="560" w:lineRule="exact"/>
        <w:ind w:left="0" w:leftChars="0" w:firstLine="640" w:firstLineChars="200"/>
        <w:jc w:val="both"/>
        <w:rPr>
          <w:rFonts w:hint="eastAsia" w:ascii="Times New Roman" w:hAnsi="宋体" w:eastAsia="仿宋_GB2312"/>
          <w:sz w:val="32"/>
          <w:szCs w:val="32"/>
          <w:lang w:val="en-US" w:eastAsia="zh-CN"/>
        </w:rPr>
      </w:pPr>
    </w:p>
    <w:p>
      <w:pPr>
        <w:pageBreakBefore w:val="0"/>
        <w:widowControl/>
        <w:kinsoku/>
        <w:wordWrap/>
        <w:overflowPunct w:val="0"/>
        <w:topLinePunct w:val="0"/>
        <w:bidi w:val="0"/>
        <w:snapToGrid/>
        <w:spacing w:beforeAutospacing="0" w:afterAutospacing="0" w:line="560" w:lineRule="exact"/>
        <w:ind w:left="0" w:leftChars="0" w:firstLine="640" w:firstLineChars="200"/>
        <w:jc w:val="both"/>
        <w:rPr>
          <w:rFonts w:hint="eastAsia" w:ascii="Times New Roman" w:hAnsi="宋体" w:eastAsia="仿宋_GB2312"/>
          <w:sz w:val="32"/>
          <w:szCs w:val="32"/>
          <w:lang w:val="en-US" w:eastAsia="zh-CN"/>
        </w:rPr>
      </w:pPr>
      <w:r>
        <w:rPr>
          <w:rFonts w:hint="eastAsia" w:ascii="Times New Roman" w:hAnsi="宋体" w:eastAsia="仿宋_GB2312"/>
          <w:sz w:val="32"/>
          <w:szCs w:val="32"/>
          <w:lang w:val="en-US" w:eastAsia="zh-CN"/>
        </w:rPr>
        <w:t>附件：2022年度省级预算执行情况绩效自评报表</w:t>
      </w:r>
      <w:bookmarkEnd w:id="112"/>
      <w:bookmarkEnd w:id="113"/>
    </w:p>
    <w:p>
      <w:pPr>
        <w:pageBreakBefore w:val="0"/>
        <w:widowControl/>
        <w:kinsoku/>
        <w:wordWrap/>
        <w:overflowPunct w:val="0"/>
        <w:topLinePunct w:val="0"/>
        <w:bidi w:val="0"/>
        <w:snapToGrid/>
        <w:spacing w:beforeAutospacing="0" w:afterAutospacing="0" w:line="560" w:lineRule="exact"/>
        <w:ind w:left="0" w:leftChars="0" w:firstLine="640" w:firstLineChars="200"/>
        <w:jc w:val="both"/>
        <w:rPr>
          <w:rFonts w:hint="eastAsia" w:ascii="Times New Roman" w:hAnsi="宋体" w:eastAsia="仿宋_GB2312"/>
          <w:sz w:val="32"/>
          <w:szCs w:val="32"/>
        </w:rPr>
      </w:pPr>
    </w:p>
    <w:p>
      <w:pPr>
        <w:pageBreakBefore w:val="0"/>
        <w:widowControl/>
        <w:kinsoku/>
        <w:wordWrap/>
        <w:overflowPunct w:val="0"/>
        <w:topLinePunct w:val="0"/>
        <w:bidi w:val="0"/>
        <w:snapToGrid/>
        <w:spacing w:beforeAutospacing="0" w:afterAutospacing="0" w:line="560" w:lineRule="exact"/>
        <w:ind w:left="0" w:leftChars="0" w:firstLine="640" w:firstLineChars="200"/>
        <w:jc w:val="both"/>
        <w:rPr>
          <w:rFonts w:hint="eastAsia" w:ascii="Times New Roman" w:hAnsi="宋体" w:eastAsia="仿宋_GB2312"/>
          <w:sz w:val="32"/>
          <w:szCs w:val="32"/>
        </w:rPr>
      </w:pPr>
    </w:p>
    <w:p>
      <w:pPr>
        <w:pageBreakBefore w:val="0"/>
        <w:widowControl/>
        <w:kinsoku/>
        <w:wordWrap/>
        <w:overflowPunct w:val="0"/>
        <w:topLinePunct w:val="0"/>
        <w:bidi w:val="0"/>
        <w:snapToGrid/>
        <w:spacing w:beforeAutospacing="0" w:afterAutospacing="0" w:line="560" w:lineRule="exact"/>
        <w:ind w:left="0" w:leftChars="0" w:firstLine="640" w:firstLineChars="200"/>
        <w:jc w:val="both"/>
        <w:rPr>
          <w:rFonts w:hint="eastAsia" w:ascii="Times New Roman" w:hAnsi="宋体" w:eastAsia="仿宋_GB2312"/>
          <w:sz w:val="32"/>
          <w:szCs w:val="32"/>
        </w:rPr>
      </w:pPr>
    </w:p>
    <w:p>
      <w:pPr>
        <w:pageBreakBefore w:val="0"/>
        <w:widowControl/>
        <w:kinsoku/>
        <w:wordWrap/>
        <w:overflowPunct w:val="0"/>
        <w:topLinePunct w:val="0"/>
        <w:bidi w:val="0"/>
        <w:snapToGrid/>
        <w:spacing w:beforeAutospacing="0" w:afterAutospacing="0" w:line="560" w:lineRule="exact"/>
        <w:ind w:left="0" w:leftChars="0" w:firstLine="640" w:firstLineChars="200"/>
        <w:jc w:val="center"/>
        <w:rPr>
          <w:rFonts w:hint="eastAsia" w:ascii="Times New Roman" w:hAnsi="宋体" w:eastAsia="仿宋_GB2312"/>
          <w:sz w:val="32"/>
          <w:szCs w:val="32"/>
          <w:lang w:val="en-US" w:eastAsia="zh-CN"/>
        </w:rPr>
      </w:pPr>
      <w:r>
        <w:rPr>
          <w:rFonts w:hint="eastAsia" w:ascii="Times New Roman" w:hAnsi="宋体"/>
          <w:sz w:val="32"/>
          <w:szCs w:val="32"/>
          <w:lang w:val="en-US" w:eastAsia="zh-CN"/>
        </w:rPr>
        <w:t xml:space="preserve">                              秦安县人民法院</w:t>
      </w:r>
    </w:p>
    <w:p>
      <w:pPr>
        <w:pageBreakBefore w:val="0"/>
        <w:widowControl/>
        <w:kinsoku/>
        <w:wordWrap/>
        <w:overflowPunct w:val="0"/>
        <w:topLinePunct w:val="0"/>
        <w:bidi w:val="0"/>
        <w:snapToGrid/>
        <w:spacing w:beforeAutospacing="0" w:afterAutospacing="0" w:line="560" w:lineRule="exact"/>
        <w:ind w:left="0" w:leftChars="0" w:firstLine="640" w:firstLineChars="200"/>
        <w:jc w:val="right"/>
        <w:rPr>
          <w:rFonts w:hint="eastAsia" w:ascii="Times New Roman" w:hAnsi="宋体" w:eastAsia="仿宋_GB2312"/>
          <w:sz w:val="32"/>
          <w:szCs w:val="32"/>
          <w:lang w:val="en-US" w:eastAsia="zh-CN"/>
        </w:rPr>
      </w:pPr>
      <w:bookmarkStart w:id="114" w:name="_Toc16334"/>
      <w:bookmarkStart w:id="115" w:name="_Toc17325"/>
      <w:bookmarkStart w:id="116" w:name="_Toc7395"/>
      <w:r>
        <w:rPr>
          <w:rFonts w:hint="eastAsia" w:ascii="Times New Roman" w:hAnsi="宋体" w:eastAsia="仿宋_GB2312"/>
          <w:sz w:val="32"/>
          <w:szCs w:val="32"/>
          <w:lang w:val="en-US" w:eastAsia="zh-CN"/>
        </w:rPr>
        <w:t xml:space="preserve">                        </w:t>
      </w:r>
    </w:p>
    <w:p>
      <w:pPr>
        <w:pageBreakBefore w:val="0"/>
        <w:widowControl/>
        <w:kinsoku/>
        <w:wordWrap/>
        <w:overflowPunct w:val="0"/>
        <w:topLinePunct w:val="0"/>
        <w:bidi w:val="0"/>
        <w:snapToGrid/>
        <w:spacing w:beforeAutospacing="0" w:afterAutospacing="0" w:line="560" w:lineRule="exact"/>
        <w:ind w:left="0" w:leftChars="0" w:firstLine="640" w:firstLineChars="200"/>
        <w:jc w:val="right"/>
        <w:rPr>
          <w:rFonts w:hint="eastAsia" w:ascii="Times New Roman" w:hAnsi="宋体" w:eastAsia="仿宋_GB2312"/>
          <w:sz w:val="32"/>
          <w:szCs w:val="32"/>
        </w:rPr>
      </w:pPr>
      <w:r>
        <w:rPr>
          <w:rFonts w:hint="eastAsia" w:ascii="Times New Roman" w:hAnsi="宋体" w:eastAsia="仿宋_GB2312"/>
          <w:sz w:val="32"/>
          <w:szCs w:val="32"/>
          <w:lang w:val="en-US" w:eastAsia="zh-CN"/>
        </w:rPr>
        <w:t xml:space="preserve">      </w:t>
      </w:r>
      <w:r>
        <w:rPr>
          <w:rFonts w:hint="eastAsia" w:ascii="Times New Roman" w:hAnsi="宋体" w:eastAsia="仿宋_GB2312"/>
          <w:sz w:val="32"/>
          <w:szCs w:val="32"/>
        </w:rPr>
        <w:t>202</w:t>
      </w:r>
      <w:r>
        <w:rPr>
          <w:rFonts w:hint="eastAsia" w:ascii="Times New Roman" w:hAnsi="宋体" w:eastAsia="仿宋_GB2312"/>
          <w:sz w:val="32"/>
          <w:szCs w:val="32"/>
          <w:lang w:val="en-US" w:eastAsia="zh-CN"/>
        </w:rPr>
        <w:t>3</w:t>
      </w:r>
      <w:r>
        <w:rPr>
          <w:rFonts w:hint="eastAsia" w:ascii="Times New Roman" w:hAnsi="宋体" w:eastAsia="仿宋_GB2312"/>
          <w:sz w:val="32"/>
          <w:szCs w:val="32"/>
        </w:rPr>
        <w:t>年</w:t>
      </w:r>
      <w:r>
        <w:rPr>
          <w:rFonts w:hint="eastAsia" w:ascii="Times New Roman" w:hAnsi="宋体" w:eastAsia="仿宋_GB2312"/>
          <w:sz w:val="32"/>
          <w:szCs w:val="32"/>
          <w:lang w:val="en-US" w:eastAsia="zh-CN"/>
        </w:rPr>
        <w:t>2</w:t>
      </w:r>
      <w:r>
        <w:rPr>
          <w:rFonts w:hint="eastAsia" w:ascii="Times New Roman" w:hAnsi="宋体" w:eastAsia="仿宋_GB2312"/>
          <w:sz w:val="32"/>
          <w:szCs w:val="32"/>
        </w:rPr>
        <w:t>月</w:t>
      </w:r>
      <w:r>
        <w:rPr>
          <w:rFonts w:hint="eastAsia" w:ascii="Times New Roman" w:hAnsi="宋体"/>
          <w:sz w:val="32"/>
          <w:szCs w:val="32"/>
          <w:lang w:val="en-US" w:eastAsia="zh-CN"/>
        </w:rPr>
        <w:t>17</w:t>
      </w:r>
      <w:r>
        <w:rPr>
          <w:rFonts w:hint="eastAsia" w:ascii="Times New Roman" w:hAnsi="宋体" w:eastAsia="仿宋_GB2312"/>
          <w:sz w:val="32"/>
          <w:szCs w:val="32"/>
        </w:rPr>
        <w:t>日</w:t>
      </w:r>
      <w:bookmarkEnd w:id="114"/>
      <w:bookmarkEnd w:id="115"/>
      <w:bookmarkEnd w:id="116"/>
    </w:p>
    <w:p>
      <w:pPr>
        <w:pageBreakBefore w:val="0"/>
        <w:widowControl/>
        <w:kinsoku/>
        <w:wordWrap/>
        <w:overflowPunct w:val="0"/>
        <w:topLinePunct w:val="0"/>
        <w:bidi w:val="0"/>
        <w:snapToGrid/>
        <w:spacing w:beforeAutospacing="0" w:afterAutospacing="0" w:line="560" w:lineRule="exact"/>
        <w:ind w:left="0" w:leftChars="0" w:firstLine="640" w:firstLineChars="200"/>
        <w:jc w:val="both"/>
        <w:rPr>
          <w:rFonts w:hint="eastAsia" w:ascii="Times New Roman" w:hAnsi="宋体" w:eastAsia="仿宋_GB2312"/>
          <w:sz w:val="32"/>
          <w:szCs w:val="32"/>
        </w:rPr>
      </w:pPr>
    </w:p>
    <w:p>
      <w:pPr>
        <w:pStyle w:val="28"/>
        <w:keepNext w:val="0"/>
        <w:keepLines w:val="0"/>
        <w:pageBreakBefore w:val="0"/>
        <w:widowControl/>
        <w:kinsoku/>
        <w:wordWrap/>
        <w:overflowPunct w:val="0"/>
        <w:topLinePunct w:val="0"/>
        <w:autoSpaceDE/>
        <w:autoSpaceDN/>
        <w:bidi w:val="0"/>
        <w:adjustRightInd/>
        <w:snapToGrid/>
        <w:spacing w:beforeAutospacing="0" w:afterAutospacing="0" w:line="560" w:lineRule="exact"/>
        <w:ind w:left="0" w:leftChars="0" w:firstLine="640" w:firstLineChars="200"/>
        <w:textAlignment w:val="baseline"/>
        <w:rPr>
          <w:rFonts w:ascii="Times New Roman" w:eastAsia="仿宋_GB2312"/>
          <w:sz w:val="32"/>
        </w:rPr>
      </w:pP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059213"/>
    </w:sdtPr>
    <w:sdtContent>
      <w:p>
        <w:pPr>
          <w:pStyle w:val="13"/>
          <w:ind w:firstLine="360"/>
          <w:jc w:val="center"/>
        </w:pPr>
      </w:p>
    </w:sdtContent>
  </w:sdt>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wMTMyMDk2ODBjMWM5ZGQ0NGM0NzkyYjI1ZWI3MTIifQ=="/>
  </w:docVars>
  <w:rsids>
    <w:rsidRoot w:val="00172A27"/>
    <w:rsid w:val="00052A18"/>
    <w:rsid w:val="00074885"/>
    <w:rsid w:val="000846DD"/>
    <w:rsid w:val="0009668A"/>
    <w:rsid w:val="000A57E0"/>
    <w:rsid w:val="000A6007"/>
    <w:rsid w:val="000B791F"/>
    <w:rsid w:val="000D228A"/>
    <w:rsid w:val="00116A7E"/>
    <w:rsid w:val="001317A2"/>
    <w:rsid w:val="00132B05"/>
    <w:rsid w:val="00136178"/>
    <w:rsid w:val="00172A27"/>
    <w:rsid w:val="001A5FBA"/>
    <w:rsid w:val="001C3244"/>
    <w:rsid w:val="001C5292"/>
    <w:rsid w:val="001F5079"/>
    <w:rsid w:val="00213991"/>
    <w:rsid w:val="0026306D"/>
    <w:rsid w:val="002A2B4C"/>
    <w:rsid w:val="002A4C84"/>
    <w:rsid w:val="002C705C"/>
    <w:rsid w:val="00354A66"/>
    <w:rsid w:val="0037297D"/>
    <w:rsid w:val="003A4775"/>
    <w:rsid w:val="003B33F8"/>
    <w:rsid w:val="003B4445"/>
    <w:rsid w:val="00411640"/>
    <w:rsid w:val="00440055"/>
    <w:rsid w:val="004555C6"/>
    <w:rsid w:val="00486086"/>
    <w:rsid w:val="004951D2"/>
    <w:rsid w:val="004A31A3"/>
    <w:rsid w:val="004A6727"/>
    <w:rsid w:val="004C4F85"/>
    <w:rsid w:val="004D56A6"/>
    <w:rsid w:val="0050326C"/>
    <w:rsid w:val="0051422B"/>
    <w:rsid w:val="0052622F"/>
    <w:rsid w:val="00591A5D"/>
    <w:rsid w:val="005F4EFE"/>
    <w:rsid w:val="006903F9"/>
    <w:rsid w:val="006A4784"/>
    <w:rsid w:val="006C7775"/>
    <w:rsid w:val="006D3D71"/>
    <w:rsid w:val="006F31A0"/>
    <w:rsid w:val="007104B3"/>
    <w:rsid w:val="00727542"/>
    <w:rsid w:val="00756C8C"/>
    <w:rsid w:val="007616B0"/>
    <w:rsid w:val="0077240E"/>
    <w:rsid w:val="007C3784"/>
    <w:rsid w:val="007C52D7"/>
    <w:rsid w:val="007C78AD"/>
    <w:rsid w:val="007D2489"/>
    <w:rsid w:val="007D7D6C"/>
    <w:rsid w:val="00814620"/>
    <w:rsid w:val="00835CA9"/>
    <w:rsid w:val="008559BB"/>
    <w:rsid w:val="00872C90"/>
    <w:rsid w:val="008901DE"/>
    <w:rsid w:val="008949AA"/>
    <w:rsid w:val="008B0628"/>
    <w:rsid w:val="008B7A39"/>
    <w:rsid w:val="008D4175"/>
    <w:rsid w:val="00911B80"/>
    <w:rsid w:val="009165DD"/>
    <w:rsid w:val="009302C0"/>
    <w:rsid w:val="00984072"/>
    <w:rsid w:val="009C15A4"/>
    <w:rsid w:val="009D7ABF"/>
    <w:rsid w:val="00A149C3"/>
    <w:rsid w:val="00A55CA9"/>
    <w:rsid w:val="00A959C7"/>
    <w:rsid w:val="00AE078A"/>
    <w:rsid w:val="00B42316"/>
    <w:rsid w:val="00B435CF"/>
    <w:rsid w:val="00C07477"/>
    <w:rsid w:val="00C253A6"/>
    <w:rsid w:val="00C44682"/>
    <w:rsid w:val="00C543AD"/>
    <w:rsid w:val="00C561AA"/>
    <w:rsid w:val="00C5770C"/>
    <w:rsid w:val="00C65841"/>
    <w:rsid w:val="00CA4117"/>
    <w:rsid w:val="00CA6255"/>
    <w:rsid w:val="00CD4DA0"/>
    <w:rsid w:val="00CE7F24"/>
    <w:rsid w:val="00CF4F52"/>
    <w:rsid w:val="00D0323B"/>
    <w:rsid w:val="00D62102"/>
    <w:rsid w:val="00D65327"/>
    <w:rsid w:val="00DA4915"/>
    <w:rsid w:val="00DC0D4D"/>
    <w:rsid w:val="00DC252A"/>
    <w:rsid w:val="00E2030F"/>
    <w:rsid w:val="00E343E5"/>
    <w:rsid w:val="00E63FE2"/>
    <w:rsid w:val="00E71216"/>
    <w:rsid w:val="00EC69A8"/>
    <w:rsid w:val="00F74A57"/>
    <w:rsid w:val="00F869BE"/>
    <w:rsid w:val="00FB4EB0"/>
    <w:rsid w:val="00FC28C9"/>
    <w:rsid w:val="00FF2BDA"/>
    <w:rsid w:val="01183111"/>
    <w:rsid w:val="0125204F"/>
    <w:rsid w:val="016210FD"/>
    <w:rsid w:val="01865733"/>
    <w:rsid w:val="01A06E9D"/>
    <w:rsid w:val="023A109F"/>
    <w:rsid w:val="02441F1E"/>
    <w:rsid w:val="0294218E"/>
    <w:rsid w:val="02D93C69"/>
    <w:rsid w:val="02FA082F"/>
    <w:rsid w:val="0305754E"/>
    <w:rsid w:val="03586C8C"/>
    <w:rsid w:val="03B80F4C"/>
    <w:rsid w:val="03B93EF4"/>
    <w:rsid w:val="03DE64EE"/>
    <w:rsid w:val="045D1075"/>
    <w:rsid w:val="046D109D"/>
    <w:rsid w:val="04AE1CD1"/>
    <w:rsid w:val="04AE6573"/>
    <w:rsid w:val="04C826FC"/>
    <w:rsid w:val="04D710AE"/>
    <w:rsid w:val="05431AC5"/>
    <w:rsid w:val="055B4129"/>
    <w:rsid w:val="055D691F"/>
    <w:rsid w:val="05630D8C"/>
    <w:rsid w:val="058F525E"/>
    <w:rsid w:val="05D64F65"/>
    <w:rsid w:val="064F716B"/>
    <w:rsid w:val="068B5D38"/>
    <w:rsid w:val="06B8742D"/>
    <w:rsid w:val="06D575E9"/>
    <w:rsid w:val="06E8731C"/>
    <w:rsid w:val="06F265AD"/>
    <w:rsid w:val="06F90833"/>
    <w:rsid w:val="071E5658"/>
    <w:rsid w:val="07930250"/>
    <w:rsid w:val="07AF39D1"/>
    <w:rsid w:val="07DE28D4"/>
    <w:rsid w:val="080E4270"/>
    <w:rsid w:val="087F1930"/>
    <w:rsid w:val="088272FC"/>
    <w:rsid w:val="08A7247E"/>
    <w:rsid w:val="08A728CF"/>
    <w:rsid w:val="08A84A40"/>
    <w:rsid w:val="08F834BD"/>
    <w:rsid w:val="09077DF6"/>
    <w:rsid w:val="091241C8"/>
    <w:rsid w:val="09376339"/>
    <w:rsid w:val="09B13A45"/>
    <w:rsid w:val="09BE6112"/>
    <w:rsid w:val="0A6C3DC0"/>
    <w:rsid w:val="0AAC7535"/>
    <w:rsid w:val="0AAF11ED"/>
    <w:rsid w:val="0AFD6D5D"/>
    <w:rsid w:val="0B3D575C"/>
    <w:rsid w:val="0B786794"/>
    <w:rsid w:val="0B8D6294"/>
    <w:rsid w:val="0B987180"/>
    <w:rsid w:val="0BA35E5E"/>
    <w:rsid w:val="0BA70E60"/>
    <w:rsid w:val="0BE1433A"/>
    <w:rsid w:val="0C040E46"/>
    <w:rsid w:val="0C126BE9"/>
    <w:rsid w:val="0C6032F9"/>
    <w:rsid w:val="0C6C6699"/>
    <w:rsid w:val="0C8F023A"/>
    <w:rsid w:val="0DD248FB"/>
    <w:rsid w:val="0DE74A3D"/>
    <w:rsid w:val="0DF0188C"/>
    <w:rsid w:val="0DF46805"/>
    <w:rsid w:val="0E071816"/>
    <w:rsid w:val="0E130328"/>
    <w:rsid w:val="0E14510B"/>
    <w:rsid w:val="0E5E4367"/>
    <w:rsid w:val="0E791344"/>
    <w:rsid w:val="0E975183"/>
    <w:rsid w:val="0E9E4764"/>
    <w:rsid w:val="0EB9159E"/>
    <w:rsid w:val="0ECC7523"/>
    <w:rsid w:val="0F087E2F"/>
    <w:rsid w:val="0F0E7B3C"/>
    <w:rsid w:val="0F5301E5"/>
    <w:rsid w:val="0FAD1102"/>
    <w:rsid w:val="0FBE7ED7"/>
    <w:rsid w:val="0FC91CB4"/>
    <w:rsid w:val="10953945"/>
    <w:rsid w:val="109A22B0"/>
    <w:rsid w:val="10ED0DA6"/>
    <w:rsid w:val="115B7B4E"/>
    <w:rsid w:val="119368FA"/>
    <w:rsid w:val="11A11963"/>
    <w:rsid w:val="11C03DEA"/>
    <w:rsid w:val="11C20FE9"/>
    <w:rsid w:val="11CF41B2"/>
    <w:rsid w:val="11E85901"/>
    <w:rsid w:val="126D4DDF"/>
    <w:rsid w:val="12F942BB"/>
    <w:rsid w:val="13837E4B"/>
    <w:rsid w:val="13847F11"/>
    <w:rsid w:val="14055456"/>
    <w:rsid w:val="1410241B"/>
    <w:rsid w:val="146A4AEC"/>
    <w:rsid w:val="14A1264A"/>
    <w:rsid w:val="14A14FAE"/>
    <w:rsid w:val="14A237DC"/>
    <w:rsid w:val="14C17805"/>
    <w:rsid w:val="1578500A"/>
    <w:rsid w:val="15937A9B"/>
    <w:rsid w:val="15B716F5"/>
    <w:rsid w:val="15F66A8C"/>
    <w:rsid w:val="160A3D95"/>
    <w:rsid w:val="16133C89"/>
    <w:rsid w:val="16585909"/>
    <w:rsid w:val="166042C0"/>
    <w:rsid w:val="169A0A5A"/>
    <w:rsid w:val="16EA10E2"/>
    <w:rsid w:val="171A2DA3"/>
    <w:rsid w:val="17364B64"/>
    <w:rsid w:val="17400B06"/>
    <w:rsid w:val="17914727"/>
    <w:rsid w:val="17A22D12"/>
    <w:rsid w:val="17A41D79"/>
    <w:rsid w:val="17D45E88"/>
    <w:rsid w:val="18657FD3"/>
    <w:rsid w:val="187F540D"/>
    <w:rsid w:val="18CA4D24"/>
    <w:rsid w:val="18CD0120"/>
    <w:rsid w:val="19167A27"/>
    <w:rsid w:val="19444033"/>
    <w:rsid w:val="194F153B"/>
    <w:rsid w:val="1980048D"/>
    <w:rsid w:val="19855E4D"/>
    <w:rsid w:val="198804EA"/>
    <w:rsid w:val="199708B4"/>
    <w:rsid w:val="19A35684"/>
    <w:rsid w:val="19A8223C"/>
    <w:rsid w:val="19C01A32"/>
    <w:rsid w:val="19C85E69"/>
    <w:rsid w:val="1A1A43C2"/>
    <w:rsid w:val="1A913C2A"/>
    <w:rsid w:val="1AB901AA"/>
    <w:rsid w:val="1ABA3711"/>
    <w:rsid w:val="1ACC2EC5"/>
    <w:rsid w:val="1B0E75A2"/>
    <w:rsid w:val="1B3604F2"/>
    <w:rsid w:val="1B367A94"/>
    <w:rsid w:val="1B391536"/>
    <w:rsid w:val="1B7D7F7E"/>
    <w:rsid w:val="1BCF785B"/>
    <w:rsid w:val="1C770035"/>
    <w:rsid w:val="1C934265"/>
    <w:rsid w:val="1CA9356C"/>
    <w:rsid w:val="1CB60A76"/>
    <w:rsid w:val="1CB60D97"/>
    <w:rsid w:val="1CC41839"/>
    <w:rsid w:val="1CD540C4"/>
    <w:rsid w:val="1CE82FAE"/>
    <w:rsid w:val="1D172F01"/>
    <w:rsid w:val="1D4B7A4A"/>
    <w:rsid w:val="1D6B5FA6"/>
    <w:rsid w:val="1DE5415D"/>
    <w:rsid w:val="1E0730ED"/>
    <w:rsid w:val="1E4A23BC"/>
    <w:rsid w:val="1EC73863"/>
    <w:rsid w:val="1EFC175F"/>
    <w:rsid w:val="201C2D22"/>
    <w:rsid w:val="204131A1"/>
    <w:rsid w:val="20462111"/>
    <w:rsid w:val="205A1343"/>
    <w:rsid w:val="206A11BC"/>
    <w:rsid w:val="20B724D5"/>
    <w:rsid w:val="21132B7C"/>
    <w:rsid w:val="215313DE"/>
    <w:rsid w:val="216E0AF3"/>
    <w:rsid w:val="21A10725"/>
    <w:rsid w:val="21D94E53"/>
    <w:rsid w:val="21E94BEF"/>
    <w:rsid w:val="22C541CF"/>
    <w:rsid w:val="22F26762"/>
    <w:rsid w:val="23A31DC3"/>
    <w:rsid w:val="23AF71DA"/>
    <w:rsid w:val="23C10B07"/>
    <w:rsid w:val="23C75000"/>
    <w:rsid w:val="24223CEC"/>
    <w:rsid w:val="247C56A2"/>
    <w:rsid w:val="248C0A40"/>
    <w:rsid w:val="24A819DF"/>
    <w:rsid w:val="24B6415E"/>
    <w:rsid w:val="24E54A43"/>
    <w:rsid w:val="25AB104A"/>
    <w:rsid w:val="25D37B28"/>
    <w:rsid w:val="25E12217"/>
    <w:rsid w:val="26323CB8"/>
    <w:rsid w:val="26555BF8"/>
    <w:rsid w:val="269A7D3C"/>
    <w:rsid w:val="270E5FB0"/>
    <w:rsid w:val="27233601"/>
    <w:rsid w:val="27EC5A7D"/>
    <w:rsid w:val="27F751B9"/>
    <w:rsid w:val="27FA58DE"/>
    <w:rsid w:val="27FB09CD"/>
    <w:rsid w:val="281C4006"/>
    <w:rsid w:val="2841391F"/>
    <w:rsid w:val="28452D46"/>
    <w:rsid w:val="2872534E"/>
    <w:rsid w:val="28A571DE"/>
    <w:rsid w:val="28BB61E6"/>
    <w:rsid w:val="28F33A63"/>
    <w:rsid w:val="29121B7F"/>
    <w:rsid w:val="29440026"/>
    <w:rsid w:val="29447DE6"/>
    <w:rsid w:val="295973BD"/>
    <w:rsid w:val="298720F0"/>
    <w:rsid w:val="29D52BB5"/>
    <w:rsid w:val="29F55728"/>
    <w:rsid w:val="29FA3933"/>
    <w:rsid w:val="2A070BEE"/>
    <w:rsid w:val="2A110088"/>
    <w:rsid w:val="2A273408"/>
    <w:rsid w:val="2A731D21"/>
    <w:rsid w:val="2A7F3244"/>
    <w:rsid w:val="2AB949A8"/>
    <w:rsid w:val="2ACD0453"/>
    <w:rsid w:val="2ACE3A90"/>
    <w:rsid w:val="2AFE4195"/>
    <w:rsid w:val="2B0A5203"/>
    <w:rsid w:val="2B252A91"/>
    <w:rsid w:val="2B4017F0"/>
    <w:rsid w:val="2B6348E0"/>
    <w:rsid w:val="2B970537"/>
    <w:rsid w:val="2B9D4D55"/>
    <w:rsid w:val="2BE76212"/>
    <w:rsid w:val="2C09185D"/>
    <w:rsid w:val="2C0F7531"/>
    <w:rsid w:val="2C7A0167"/>
    <w:rsid w:val="2C8F33BD"/>
    <w:rsid w:val="2C8F54B1"/>
    <w:rsid w:val="2D5662C8"/>
    <w:rsid w:val="2DF56335"/>
    <w:rsid w:val="2DF9286A"/>
    <w:rsid w:val="2ED075DC"/>
    <w:rsid w:val="2ED6443A"/>
    <w:rsid w:val="2EE138F7"/>
    <w:rsid w:val="2F0C4BE3"/>
    <w:rsid w:val="2F377CAB"/>
    <w:rsid w:val="2F4D1ED1"/>
    <w:rsid w:val="2FCB61DD"/>
    <w:rsid w:val="300415AB"/>
    <w:rsid w:val="30952D41"/>
    <w:rsid w:val="30DD0CC4"/>
    <w:rsid w:val="30E271B6"/>
    <w:rsid w:val="31397F4B"/>
    <w:rsid w:val="31541DBA"/>
    <w:rsid w:val="317070E4"/>
    <w:rsid w:val="31775428"/>
    <w:rsid w:val="318F7220"/>
    <w:rsid w:val="31B63FAB"/>
    <w:rsid w:val="31D65E3F"/>
    <w:rsid w:val="31EB672C"/>
    <w:rsid w:val="31F02617"/>
    <w:rsid w:val="3280106E"/>
    <w:rsid w:val="329A6E6D"/>
    <w:rsid w:val="32DC4272"/>
    <w:rsid w:val="33150BE9"/>
    <w:rsid w:val="336C775A"/>
    <w:rsid w:val="33725861"/>
    <w:rsid w:val="33CF4883"/>
    <w:rsid w:val="33D62126"/>
    <w:rsid w:val="33D75E9F"/>
    <w:rsid w:val="33DE375D"/>
    <w:rsid w:val="33F71B1A"/>
    <w:rsid w:val="342E014E"/>
    <w:rsid w:val="346A0719"/>
    <w:rsid w:val="34B306BA"/>
    <w:rsid w:val="34BC46A1"/>
    <w:rsid w:val="34CD217E"/>
    <w:rsid w:val="34D36666"/>
    <w:rsid w:val="34F146C2"/>
    <w:rsid w:val="351358AA"/>
    <w:rsid w:val="35303AB8"/>
    <w:rsid w:val="35324607"/>
    <w:rsid w:val="363277FD"/>
    <w:rsid w:val="365E57FF"/>
    <w:rsid w:val="366A70C8"/>
    <w:rsid w:val="36AF7935"/>
    <w:rsid w:val="36B928EF"/>
    <w:rsid w:val="36D901FE"/>
    <w:rsid w:val="37164F30"/>
    <w:rsid w:val="372B7BCD"/>
    <w:rsid w:val="376728C4"/>
    <w:rsid w:val="376E08C8"/>
    <w:rsid w:val="379067CC"/>
    <w:rsid w:val="37F01225"/>
    <w:rsid w:val="38021539"/>
    <w:rsid w:val="380A28CA"/>
    <w:rsid w:val="383A2C56"/>
    <w:rsid w:val="38514471"/>
    <w:rsid w:val="388C6E04"/>
    <w:rsid w:val="389A5030"/>
    <w:rsid w:val="38A327F3"/>
    <w:rsid w:val="38E250CA"/>
    <w:rsid w:val="397143E9"/>
    <w:rsid w:val="39B95231"/>
    <w:rsid w:val="39E7313A"/>
    <w:rsid w:val="39EC1C54"/>
    <w:rsid w:val="3A1F19CA"/>
    <w:rsid w:val="3A8B731D"/>
    <w:rsid w:val="3A946897"/>
    <w:rsid w:val="3A9B7C32"/>
    <w:rsid w:val="3AAE4F93"/>
    <w:rsid w:val="3AC83BA7"/>
    <w:rsid w:val="3ACB48BB"/>
    <w:rsid w:val="3AD25272"/>
    <w:rsid w:val="3AFC6ED7"/>
    <w:rsid w:val="3B0112DE"/>
    <w:rsid w:val="3B282FD3"/>
    <w:rsid w:val="3B375346"/>
    <w:rsid w:val="3B5129DA"/>
    <w:rsid w:val="3B5B20B0"/>
    <w:rsid w:val="3BA33E48"/>
    <w:rsid w:val="3BBD0A54"/>
    <w:rsid w:val="3BBE58F0"/>
    <w:rsid w:val="3BDA41CF"/>
    <w:rsid w:val="3BE4409F"/>
    <w:rsid w:val="3C663A24"/>
    <w:rsid w:val="3C7F41CC"/>
    <w:rsid w:val="3C9F32D2"/>
    <w:rsid w:val="3CAE272D"/>
    <w:rsid w:val="3D015D3A"/>
    <w:rsid w:val="3D237150"/>
    <w:rsid w:val="3D386234"/>
    <w:rsid w:val="3D6406AA"/>
    <w:rsid w:val="3D7B0470"/>
    <w:rsid w:val="3D9D034F"/>
    <w:rsid w:val="3DD07A03"/>
    <w:rsid w:val="3DE32F0A"/>
    <w:rsid w:val="3E23065E"/>
    <w:rsid w:val="3E585D6B"/>
    <w:rsid w:val="3EC75511"/>
    <w:rsid w:val="3F41523B"/>
    <w:rsid w:val="3F5D34CD"/>
    <w:rsid w:val="3F9B2476"/>
    <w:rsid w:val="3FC12A9B"/>
    <w:rsid w:val="40287B7C"/>
    <w:rsid w:val="403A4B1E"/>
    <w:rsid w:val="40516350"/>
    <w:rsid w:val="4081490E"/>
    <w:rsid w:val="408F79A5"/>
    <w:rsid w:val="40B17223"/>
    <w:rsid w:val="40C96B6F"/>
    <w:rsid w:val="411E510D"/>
    <w:rsid w:val="41B57B90"/>
    <w:rsid w:val="41B62723"/>
    <w:rsid w:val="41C474D0"/>
    <w:rsid w:val="41C8474B"/>
    <w:rsid w:val="41CD47B2"/>
    <w:rsid w:val="423B584A"/>
    <w:rsid w:val="42925DB2"/>
    <w:rsid w:val="43166C1A"/>
    <w:rsid w:val="43291B47"/>
    <w:rsid w:val="432F247C"/>
    <w:rsid w:val="43625A2A"/>
    <w:rsid w:val="437F06E0"/>
    <w:rsid w:val="43C31F9B"/>
    <w:rsid w:val="43D14C90"/>
    <w:rsid w:val="44093E52"/>
    <w:rsid w:val="44475071"/>
    <w:rsid w:val="445E3AFF"/>
    <w:rsid w:val="44612E7B"/>
    <w:rsid w:val="44753B35"/>
    <w:rsid w:val="44A571E8"/>
    <w:rsid w:val="45343151"/>
    <w:rsid w:val="456F5F37"/>
    <w:rsid w:val="45BE1410"/>
    <w:rsid w:val="45CA5863"/>
    <w:rsid w:val="45E00434"/>
    <w:rsid w:val="45F047F0"/>
    <w:rsid w:val="45F4583A"/>
    <w:rsid w:val="46054912"/>
    <w:rsid w:val="46112717"/>
    <w:rsid w:val="46307B3F"/>
    <w:rsid w:val="46317690"/>
    <w:rsid w:val="469448BA"/>
    <w:rsid w:val="46DC1289"/>
    <w:rsid w:val="472655E6"/>
    <w:rsid w:val="477D2815"/>
    <w:rsid w:val="47982EAF"/>
    <w:rsid w:val="481B63B6"/>
    <w:rsid w:val="487550B7"/>
    <w:rsid w:val="48B40105"/>
    <w:rsid w:val="48C20A74"/>
    <w:rsid w:val="48D569F9"/>
    <w:rsid w:val="48D83D6A"/>
    <w:rsid w:val="48F202EF"/>
    <w:rsid w:val="49747127"/>
    <w:rsid w:val="49B35FD2"/>
    <w:rsid w:val="49B45B0A"/>
    <w:rsid w:val="49BF4D9E"/>
    <w:rsid w:val="49D337CF"/>
    <w:rsid w:val="4A315202"/>
    <w:rsid w:val="4A642CF0"/>
    <w:rsid w:val="4AC565F9"/>
    <w:rsid w:val="4AF07AF1"/>
    <w:rsid w:val="4B4439C2"/>
    <w:rsid w:val="4BD110E2"/>
    <w:rsid w:val="4C261319"/>
    <w:rsid w:val="4C261844"/>
    <w:rsid w:val="4C3E48B5"/>
    <w:rsid w:val="4C5E4F57"/>
    <w:rsid w:val="4C6F4027"/>
    <w:rsid w:val="4C975D73"/>
    <w:rsid w:val="4CDF1128"/>
    <w:rsid w:val="4D0B54AD"/>
    <w:rsid w:val="4D16026A"/>
    <w:rsid w:val="4D2A1AB4"/>
    <w:rsid w:val="4D633045"/>
    <w:rsid w:val="4DBA72D7"/>
    <w:rsid w:val="4DBD57AB"/>
    <w:rsid w:val="4E0B6A19"/>
    <w:rsid w:val="4E28581D"/>
    <w:rsid w:val="4E471E75"/>
    <w:rsid w:val="4E64507F"/>
    <w:rsid w:val="4E8D3684"/>
    <w:rsid w:val="4E957926"/>
    <w:rsid w:val="4E9E5695"/>
    <w:rsid w:val="4F224D8D"/>
    <w:rsid w:val="4F974A08"/>
    <w:rsid w:val="4FB54E8E"/>
    <w:rsid w:val="4FB975A2"/>
    <w:rsid w:val="4FCD667C"/>
    <w:rsid w:val="4FE237A9"/>
    <w:rsid w:val="501D04CE"/>
    <w:rsid w:val="501D387E"/>
    <w:rsid w:val="50493828"/>
    <w:rsid w:val="50591CBD"/>
    <w:rsid w:val="5076286F"/>
    <w:rsid w:val="50957359"/>
    <w:rsid w:val="509F6EC6"/>
    <w:rsid w:val="510D6CCE"/>
    <w:rsid w:val="511E659C"/>
    <w:rsid w:val="512B1283"/>
    <w:rsid w:val="51493A4C"/>
    <w:rsid w:val="520143BB"/>
    <w:rsid w:val="520E29DF"/>
    <w:rsid w:val="5237602E"/>
    <w:rsid w:val="52397BDB"/>
    <w:rsid w:val="5261421A"/>
    <w:rsid w:val="52874813"/>
    <w:rsid w:val="52986A2B"/>
    <w:rsid w:val="52A068B2"/>
    <w:rsid w:val="53034162"/>
    <w:rsid w:val="53182FAD"/>
    <w:rsid w:val="53283BC9"/>
    <w:rsid w:val="536F17F8"/>
    <w:rsid w:val="53874D93"/>
    <w:rsid w:val="53932FF4"/>
    <w:rsid w:val="53D10201"/>
    <w:rsid w:val="53DC53F9"/>
    <w:rsid w:val="543071D9"/>
    <w:rsid w:val="543C16DA"/>
    <w:rsid w:val="54843081"/>
    <w:rsid w:val="54E720BB"/>
    <w:rsid w:val="551B4A12"/>
    <w:rsid w:val="5588094F"/>
    <w:rsid w:val="558A2919"/>
    <w:rsid w:val="5634588C"/>
    <w:rsid w:val="56615E0C"/>
    <w:rsid w:val="567846EC"/>
    <w:rsid w:val="56AC0B61"/>
    <w:rsid w:val="56B45E9F"/>
    <w:rsid w:val="5714693E"/>
    <w:rsid w:val="57272B15"/>
    <w:rsid w:val="575C16B2"/>
    <w:rsid w:val="57966F2A"/>
    <w:rsid w:val="579D6934"/>
    <w:rsid w:val="57AD207D"/>
    <w:rsid w:val="5806097D"/>
    <w:rsid w:val="58134E48"/>
    <w:rsid w:val="583A6878"/>
    <w:rsid w:val="5889335C"/>
    <w:rsid w:val="58B80B09"/>
    <w:rsid w:val="58C500FD"/>
    <w:rsid w:val="58DC7930"/>
    <w:rsid w:val="590C03A2"/>
    <w:rsid w:val="596334BB"/>
    <w:rsid w:val="59727BBE"/>
    <w:rsid w:val="59964C22"/>
    <w:rsid w:val="59A97E57"/>
    <w:rsid w:val="5A112DD4"/>
    <w:rsid w:val="5A4A24F3"/>
    <w:rsid w:val="5A5B1C29"/>
    <w:rsid w:val="5A7F2300"/>
    <w:rsid w:val="5AED49A0"/>
    <w:rsid w:val="5B7E0BDD"/>
    <w:rsid w:val="5B92709A"/>
    <w:rsid w:val="5BDA5CF3"/>
    <w:rsid w:val="5BFE0297"/>
    <w:rsid w:val="5C161EDE"/>
    <w:rsid w:val="5C207B33"/>
    <w:rsid w:val="5C880D1C"/>
    <w:rsid w:val="5CA91A5D"/>
    <w:rsid w:val="5D04082A"/>
    <w:rsid w:val="5D2914FD"/>
    <w:rsid w:val="5D611791"/>
    <w:rsid w:val="5D755C5D"/>
    <w:rsid w:val="5DAE0264"/>
    <w:rsid w:val="5DD5494D"/>
    <w:rsid w:val="5DDE74C5"/>
    <w:rsid w:val="5E5B62CD"/>
    <w:rsid w:val="5E916AC6"/>
    <w:rsid w:val="5E9640DD"/>
    <w:rsid w:val="5E992621"/>
    <w:rsid w:val="5EC5377B"/>
    <w:rsid w:val="5EC67DA5"/>
    <w:rsid w:val="5ED247CC"/>
    <w:rsid w:val="5F3A0F0C"/>
    <w:rsid w:val="5F58262D"/>
    <w:rsid w:val="5F6419A2"/>
    <w:rsid w:val="5F775691"/>
    <w:rsid w:val="5FE44445"/>
    <w:rsid w:val="600414DC"/>
    <w:rsid w:val="603319A6"/>
    <w:rsid w:val="605F1472"/>
    <w:rsid w:val="60A12843"/>
    <w:rsid w:val="60BA744E"/>
    <w:rsid w:val="60BB23FA"/>
    <w:rsid w:val="60FB49D2"/>
    <w:rsid w:val="61D474C9"/>
    <w:rsid w:val="620962CB"/>
    <w:rsid w:val="62950A8E"/>
    <w:rsid w:val="629774D1"/>
    <w:rsid w:val="62BE64F4"/>
    <w:rsid w:val="62C9714A"/>
    <w:rsid w:val="635B3466"/>
    <w:rsid w:val="637B00FA"/>
    <w:rsid w:val="63DC4C88"/>
    <w:rsid w:val="64234172"/>
    <w:rsid w:val="6431668F"/>
    <w:rsid w:val="64803EF5"/>
    <w:rsid w:val="64835103"/>
    <w:rsid w:val="64970BAF"/>
    <w:rsid w:val="64AA6F1D"/>
    <w:rsid w:val="64F8164D"/>
    <w:rsid w:val="6502427A"/>
    <w:rsid w:val="656C3DE9"/>
    <w:rsid w:val="65715BFD"/>
    <w:rsid w:val="65732D00"/>
    <w:rsid w:val="65B34C8C"/>
    <w:rsid w:val="66050395"/>
    <w:rsid w:val="661A0932"/>
    <w:rsid w:val="66302426"/>
    <w:rsid w:val="66364452"/>
    <w:rsid w:val="6651710F"/>
    <w:rsid w:val="66624590"/>
    <w:rsid w:val="66D90189"/>
    <w:rsid w:val="66E85FB4"/>
    <w:rsid w:val="67330E86"/>
    <w:rsid w:val="674033C8"/>
    <w:rsid w:val="67614E4C"/>
    <w:rsid w:val="679C7C07"/>
    <w:rsid w:val="67B37AAD"/>
    <w:rsid w:val="67F524F3"/>
    <w:rsid w:val="67F92005"/>
    <w:rsid w:val="68025435"/>
    <w:rsid w:val="680904D8"/>
    <w:rsid w:val="688F22C8"/>
    <w:rsid w:val="68C267B6"/>
    <w:rsid w:val="68CF738C"/>
    <w:rsid w:val="68F20812"/>
    <w:rsid w:val="69021FA8"/>
    <w:rsid w:val="69137A07"/>
    <w:rsid w:val="69332F9E"/>
    <w:rsid w:val="697415F1"/>
    <w:rsid w:val="697F3ADF"/>
    <w:rsid w:val="69DA3ABA"/>
    <w:rsid w:val="6A3762A4"/>
    <w:rsid w:val="6A631F51"/>
    <w:rsid w:val="6A887F5F"/>
    <w:rsid w:val="6AAB7162"/>
    <w:rsid w:val="6AC3566F"/>
    <w:rsid w:val="6B037C3A"/>
    <w:rsid w:val="6B2B4A32"/>
    <w:rsid w:val="6B3A67D0"/>
    <w:rsid w:val="6B461A10"/>
    <w:rsid w:val="6B4B7556"/>
    <w:rsid w:val="6B6179F5"/>
    <w:rsid w:val="6B7C13D5"/>
    <w:rsid w:val="6BD72D2C"/>
    <w:rsid w:val="6C0652F9"/>
    <w:rsid w:val="6C53512B"/>
    <w:rsid w:val="6C560EC1"/>
    <w:rsid w:val="6C8E0AE9"/>
    <w:rsid w:val="6CA04267"/>
    <w:rsid w:val="6CA63EB8"/>
    <w:rsid w:val="6CB227F2"/>
    <w:rsid w:val="6CC30793"/>
    <w:rsid w:val="6CC8224D"/>
    <w:rsid w:val="6D18328F"/>
    <w:rsid w:val="6D74137B"/>
    <w:rsid w:val="6D8C5C0C"/>
    <w:rsid w:val="6D8D7335"/>
    <w:rsid w:val="6DF95048"/>
    <w:rsid w:val="6E0472B5"/>
    <w:rsid w:val="6E09753D"/>
    <w:rsid w:val="6E7320EC"/>
    <w:rsid w:val="6EB73860"/>
    <w:rsid w:val="6EF255E1"/>
    <w:rsid w:val="6F3C1C82"/>
    <w:rsid w:val="6F4B5004"/>
    <w:rsid w:val="6F9E02F2"/>
    <w:rsid w:val="6FF00AC7"/>
    <w:rsid w:val="70006EA8"/>
    <w:rsid w:val="700F01D3"/>
    <w:rsid w:val="7015387B"/>
    <w:rsid w:val="705A41AE"/>
    <w:rsid w:val="70D07922"/>
    <w:rsid w:val="70E14841"/>
    <w:rsid w:val="7113156F"/>
    <w:rsid w:val="718524BB"/>
    <w:rsid w:val="718631F8"/>
    <w:rsid w:val="71CE1DE8"/>
    <w:rsid w:val="72A11576"/>
    <w:rsid w:val="72B56CCB"/>
    <w:rsid w:val="72D46929"/>
    <w:rsid w:val="72D729DB"/>
    <w:rsid w:val="72EC0317"/>
    <w:rsid w:val="73353469"/>
    <w:rsid w:val="73644117"/>
    <w:rsid w:val="736D3FC9"/>
    <w:rsid w:val="73BF6E3A"/>
    <w:rsid w:val="74035919"/>
    <w:rsid w:val="741D30BD"/>
    <w:rsid w:val="74213FF1"/>
    <w:rsid w:val="743F6E51"/>
    <w:rsid w:val="74962374"/>
    <w:rsid w:val="74FB38D2"/>
    <w:rsid w:val="750E0A19"/>
    <w:rsid w:val="75606932"/>
    <w:rsid w:val="75685790"/>
    <w:rsid w:val="756E5918"/>
    <w:rsid w:val="75712C55"/>
    <w:rsid w:val="757B7431"/>
    <w:rsid w:val="75936F6D"/>
    <w:rsid w:val="75D7226C"/>
    <w:rsid w:val="76332FB4"/>
    <w:rsid w:val="76740D50"/>
    <w:rsid w:val="769C1001"/>
    <w:rsid w:val="76EB38E3"/>
    <w:rsid w:val="775547B2"/>
    <w:rsid w:val="777404D2"/>
    <w:rsid w:val="77F35CA4"/>
    <w:rsid w:val="781D7C27"/>
    <w:rsid w:val="7875145D"/>
    <w:rsid w:val="788809AD"/>
    <w:rsid w:val="788B01D8"/>
    <w:rsid w:val="78A23E67"/>
    <w:rsid w:val="78AF7473"/>
    <w:rsid w:val="78BB3CBA"/>
    <w:rsid w:val="79291DBD"/>
    <w:rsid w:val="79463D2A"/>
    <w:rsid w:val="79584959"/>
    <w:rsid w:val="796E3278"/>
    <w:rsid w:val="79B80DE0"/>
    <w:rsid w:val="7A574C10"/>
    <w:rsid w:val="7AAC0AB8"/>
    <w:rsid w:val="7AAF2356"/>
    <w:rsid w:val="7AD06AA1"/>
    <w:rsid w:val="7B011F41"/>
    <w:rsid w:val="7B101CDA"/>
    <w:rsid w:val="7B587A97"/>
    <w:rsid w:val="7B7209AE"/>
    <w:rsid w:val="7BD644A9"/>
    <w:rsid w:val="7C162517"/>
    <w:rsid w:val="7C2D3A49"/>
    <w:rsid w:val="7C5950EA"/>
    <w:rsid w:val="7D657644"/>
    <w:rsid w:val="7D670C49"/>
    <w:rsid w:val="7D9A5540"/>
    <w:rsid w:val="7DB40352"/>
    <w:rsid w:val="7DF67493"/>
    <w:rsid w:val="7E3B4056"/>
    <w:rsid w:val="7E8640F9"/>
    <w:rsid w:val="7E8E06E9"/>
    <w:rsid w:val="7EA31D98"/>
    <w:rsid w:val="7EC81C39"/>
    <w:rsid w:val="7EF700DD"/>
    <w:rsid w:val="7F951BF0"/>
    <w:rsid w:val="7FBD6760"/>
    <w:rsid w:val="EEB3F4F2"/>
    <w:rsid w:val="F97FDF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hAnsi="仿宋_GB2312" w:eastAsia="仿宋_GB2312" w:cstheme="minorBidi"/>
      <w:kern w:val="2"/>
      <w:sz w:val="28"/>
      <w:szCs w:val="22"/>
      <w:lang w:val="en-US" w:eastAsia="zh-CN" w:bidi="ar-SA"/>
    </w:rPr>
  </w:style>
  <w:style w:type="paragraph" w:styleId="3">
    <w:name w:val="heading 1"/>
    <w:basedOn w:val="1"/>
    <w:next w:val="1"/>
    <w:link w:val="32"/>
    <w:qFormat/>
    <w:uiPriority w:val="9"/>
    <w:pPr>
      <w:keepNext/>
      <w:keepLines/>
      <w:spacing w:before="200" w:after="200"/>
      <w:ind w:firstLine="0" w:firstLineChars="0"/>
      <w:outlineLvl w:val="0"/>
    </w:pPr>
    <w:rPr>
      <w:rFonts w:ascii="黑体" w:hAnsi="黑体" w:eastAsia="黑体"/>
      <w:b/>
      <w:bCs/>
      <w:kern w:val="44"/>
      <w:sz w:val="32"/>
      <w:szCs w:val="44"/>
    </w:rPr>
  </w:style>
  <w:style w:type="paragraph" w:styleId="4">
    <w:name w:val="heading 2"/>
    <w:basedOn w:val="1"/>
    <w:next w:val="1"/>
    <w:link w:val="33"/>
    <w:unhideWhenUsed/>
    <w:qFormat/>
    <w:uiPriority w:val="9"/>
    <w:pPr>
      <w:keepNext/>
      <w:keepLines/>
      <w:spacing w:before="100" w:after="100"/>
      <w:outlineLvl w:val="1"/>
    </w:pPr>
    <w:rPr>
      <w:rFonts w:ascii="楷体" w:hAnsi="楷体" w:eastAsia="楷体" w:cstheme="majorBidi"/>
      <w:b/>
      <w:bCs/>
      <w:sz w:val="32"/>
      <w:szCs w:val="32"/>
    </w:rPr>
  </w:style>
  <w:style w:type="paragraph" w:styleId="5">
    <w:name w:val="heading 3"/>
    <w:basedOn w:val="1"/>
    <w:next w:val="1"/>
    <w:link w:val="34"/>
    <w:unhideWhenUsed/>
    <w:qFormat/>
    <w:uiPriority w:val="9"/>
    <w:pPr>
      <w:keepNext/>
      <w:keepLines/>
      <w:outlineLvl w:val="2"/>
    </w:pPr>
    <w:rPr>
      <w:b/>
      <w:bCs/>
      <w:szCs w:val="32"/>
    </w:rPr>
  </w:style>
  <w:style w:type="paragraph" w:styleId="6">
    <w:name w:val="heading 6"/>
    <w:basedOn w:val="1"/>
    <w:next w:val="1"/>
    <w:unhideWhenUsed/>
    <w:qFormat/>
    <w:uiPriority w:val="9"/>
    <w:pPr>
      <w:keepNext/>
      <w:keepLines/>
      <w:outlineLvl w:val="5"/>
    </w:pPr>
    <w:rPr>
      <w:rFonts w:ascii="Cambria" w:hAnsi="Cambria"/>
      <w:bCs/>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
    <w:basedOn w:val="1"/>
    <w:qFormat/>
    <w:uiPriority w:val="0"/>
    <w:pPr>
      <w:ind w:left="420" w:leftChars="200" w:firstLine="420" w:firstLineChars="200"/>
    </w:pPr>
  </w:style>
  <w:style w:type="paragraph" w:styleId="7">
    <w:name w:val="caption"/>
    <w:basedOn w:val="1"/>
    <w:next w:val="1"/>
    <w:unhideWhenUsed/>
    <w:qFormat/>
    <w:uiPriority w:val="0"/>
    <w:rPr>
      <w:rFonts w:eastAsia="黑体" w:asciiTheme="majorHAnsi" w:hAnsiTheme="majorHAnsi" w:cstheme="majorBidi"/>
      <w:sz w:val="20"/>
      <w:szCs w:val="20"/>
    </w:rPr>
  </w:style>
  <w:style w:type="paragraph" w:styleId="8">
    <w:name w:val="annotation text"/>
    <w:basedOn w:val="1"/>
    <w:link w:val="36"/>
    <w:semiHidden/>
    <w:unhideWhenUsed/>
    <w:qFormat/>
    <w:uiPriority w:val="99"/>
    <w:pPr>
      <w:jc w:val="left"/>
    </w:pPr>
  </w:style>
  <w:style w:type="paragraph" w:styleId="9">
    <w:name w:val="Body Text"/>
    <w:basedOn w:val="1"/>
    <w:next w:val="1"/>
    <w:qFormat/>
    <w:uiPriority w:val="99"/>
    <w:rPr>
      <w:szCs w:val="21"/>
    </w:rPr>
  </w:style>
  <w:style w:type="paragraph" w:styleId="10">
    <w:name w:val="Body Text Indent"/>
    <w:basedOn w:val="1"/>
    <w:qFormat/>
    <w:uiPriority w:val="0"/>
    <w:pPr>
      <w:ind w:left="200" w:leftChars="200"/>
    </w:pPr>
    <w:rPr>
      <w:szCs w:val="21"/>
    </w:rPr>
  </w:style>
  <w:style w:type="paragraph" w:styleId="11">
    <w:name w:val="Plain Text"/>
    <w:basedOn w:val="1"/>
    <w:qFormat/>
    <w:uiPriority w:val="0"/>
    <w:rPr>
      <w:rFonts w:hint="eastAsia" w:ascii="宋体" w:hAnsi="Courier New" w:eastAsia="宋体" w:cs="Times New Roman"/>
      <w:szCs w:val="20"/>
    </w:rPr>
  </w:style>
  <w:style w:type="paragraph" w:styleId="12">
    <w:name w:val="Body Text Indent 2"/>
    <w:basedOn w:val="1"/>
    <w:next w:val="11"/>
    <w:qFormat/>
    <w:uiPriority w:val="0"/>
    <w:pPr>
      <w:ind w:left="-718" w:leftChars="-342" w:firstLine="720" w:firstLineChars="225"/>
      <w:jc w:val="left"/>
    </w:pPr>
    <w:rPr>
      <w:sz w:val="32"/>
      <w:szCs w:val="32"/>
    </w:r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ind w:firstLine="0" w:firstLineChars="0"/>
    </w:pPr>
    <w:rPr>
      <w:rFonts w:hAnsi="宋体"/>
      <w:b/>
      <w:bCs/>
    </w:rPr>
  </w:style>
  <w:style w:type="paragraph" w:styleId="16">
    <w:name w:val="toc 2"/>
    <w:basedOn w:val="1"/>
    <w:next w:val="1"/>
    <w:unhideWhenUsed/>
    <w:qFormat/>
    <w:uiPriority w:val="39"/>
    <w:pPr>
      <w:tabs>
        <w:tab w:val="right" w:leader="dot" w:pos="8296"/>
      </w:tabs>
      <w:ind w:left="560" w:leftChars="200" w:firstLine="0" w:firstLineChars="0"/>
    </w:pPr>
  </w:style>
  <w:style w:type="paragraph" w:styleId="1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8">
    <w:name w:val="Normal (Web)"/>
    <w:basedOn w:val="1"/>
    <w:semiHidden/>
    <w:unhideWhenUsed/>
    <w:qFormat/>
    <w:uiPriority w:val="99"/>
    <w:pPr>
      <w:spacing w:beforeAutospacing="1" w:afterAutospacing="1"/>
      <w:jc w:val="left"/>
    </w:pPr>
    <w:rPr>
      <w:rFonts w:cs="Times New Roman"/>
      <w:kern w:val="0"/>
      <w:sz w:val="24"/>
    </w:rPr>
  </w:style>
  <w:style w:type="paragraph" w:styleId="19">
    <w:name w:val="index 1"/>
    <w:basedOn w:val="1"/>
    <w:next w:val="1"/>
    <w:qFormat/>
    <w:uiPriority w:val="0"/>
  </w:style>
  <w:style w:type="paragraph" w:styleId="20">
    <w:name w:val="annotation subject"/>
    <w:basedOn w:val="8"/>
    <w:next w:val="8"/>
    <w:link w:val="37"/>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paragraph" w:customStyle="1" w:styleId="26">
    <w:name w:val="BodyTextIndent2"/>
    <w:basedOn w:val="1"/>
    <w:qFormat/>
    <w:uiPriority w:val="0"/>
    <w:pPr>
      <w:ind w:firstLine="640" w:firstLineChars="200"/>
      <w:textAlignment w:val="baseline"/>
    </w:pPr>
    <w:rPr>
      <w:rFonts w:ascii="楷体_GB2312" w:hAnsi="Times New Roman" w:eastAsia="楷体_GB2312" w:cs="Times New Roman"/>
      <w:sz w:val="32"/>
      <w:szCs w:val="32"/>
    </w:rPr>
  </w:style>
  <w:style w:type="paragraph" w:customStyle="1" w:styleId="27">
    <w:name w:val="Body Text First Indent 21"/>
    <w:basedOn w:val="1"/>
    <w:qFormat/>
    <w:uiPriority w:val="0"/>
    <w:pPr>
      <w:ind w:left="420" w:leftChars="200" w:firstLine="420" w:firstLineChars="200"/>
    </w:pPr>
  </w:style>
  <w:style w:type="paragraph" w:customStyle="1" w:styleId="28">
    <w:name w:val="BodyTextIndent"/>
    <w:basedOn w:val="1"/>
    <w:qFormat/>
    <w:uiPriority w:val="0"/>
    <w:pPr>
      <w:widowControl/>
      <w:ind w:left="200" w:leftChars="200"/>
      <w:jc w:val="both"/>
      <w:textAlignment w:val="baseline"/>
    </w:pPr>
    <w:rPr>
      <w:kern w:val="2"/>
      <w:sz w:val="21"/>
      <w:szCs w:val="21"/>
      <w:lang w:val="en-US" w:eastAsia="zh-CN" w:bidi="ar-SA"/>
    </w:rPr>
  </w:style>
  <w:style w:type="character" w:customStyle="1" w:styleId="29">
    <w:name w:val="页眉 字符"/>
    <w:basedOn w:val="23"/>
    <w:link w:val="14"/>
    <w:qFormat/>
    <w:uiPriority w:val="99"/>
    <w:rPr>
      <w:sz w:val="18"/>
      <w:szCs w:val="18"/>
    </w:rPr>
  </w:style>
  <w:style w:type="character" w:customStyle="1" w:styleId="30">
    <w:name w:val="页脚 字符"/>
    <w:basedOn w:val="23"/>
    <w:link w:val="13"/>
    <w:qFormat/>
    <w:uiPriority w:val="99"/>
    <w:rPr>
      <w:sz w:val="18"/>
      <w:szCs w:val="18"/>
    </w:rPr>
  </w:style>
  <w:style w:type="paragraph" w:customStyle="1" w:styleId="31">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character" w:customStyle="1" w:styleId="32">
    <w:name w:val="标题 1 字符"/>
    <w:basedOn w:val="23"/>
    <w:link w:val="3"/>
    <w:qFormat/>
    <w:uiPriority w:val="9"/>
    <w:rPr>
      <w:rFonts w:ascii="黑体" w:hAnsi="黑体" w:eastAsia="黑体"/>
      <w:b/>
      <w:bCs/>
      <w:kern w:val="44"/>
      <w:sz w:val="32"/>
      <w:szCs w:val="44"/>
    </w:rPr>
  </w:style>
  <w:style w:type="character" w:customStyle="1" w:styleId="33">
    <w:name w:val="标题 2 字符"/>
    <w:basedOn w:val="23"/>
    <w:link w:val="4"/>
    <w:qFormat/>
    <w:uiPriority w:val="9"/>
    <w:rPr>
      <w:rFonts w:ascii="楷体" w:hAnsi="楷体" w:eastAsia="楷体" w:cstheme="majorBidi"/>
      <w:b/>
      <w:bCs/>
      <w:sz w:val="32"/>
      <w:szCs w:val="32"/>
    </w:rPr>
  </w:style>
  <w:style w:type="character" w:customStyle="1" w:styleId="34">
    <w:name w:val="标题 3 字符"/>
    <w:basedOn w:val="23"/>
    <w:link w:val="5"/>
    <w:qFormat/>
    <w:uiPriority w:val="9"/>
    <w:rPr>
      <w:rFonts w:ascii="仿宋_GB2312" w:hAnsi="仿宋_GB2312" w:eastAsia="仿宋_GB2312"/>
      <w:b/>
      <w:bCs/>
      <w:sz w:val="28"/>
      <w:szCs w:val="32"/>
    </w:rPr>
  </w:style>
  <w:style w:type="character" w:customStyle="1" w:styleId="35">
    <w:name w:val="font01"/>
    <w:basedOn w:val="23"/>
    <w:qFormat/>
    <w:uiPriority w:val="0"/>
    <w:rPr>
      <w:rFonts w:hint="eastAsia" w:ascii="宋体" w:hAnsi="宋体" w:eastAsia="宋体" w:cs="宋体"/>
      <w:color w:val="000000"/>
      <w:sz w:val="21"/>
      <w:szCs w:val="21"/>
      <w:u w:val="none"/>
    </w:rPr>
  </w:style>
  <w:style w:type="character" w:customStyle="1" w:styleId="36">
    <w:name w:val="批注文字 字符"/>
    <w:basedOn w:val="23"/>
    <w:link w:val="8"/>
    <w:semiHidden/>
    <w:qFormat/>
    <w:uiPriority w:val="99"/>
    <w:rPr>
      <w:rFonts w:ascii="仿宋_GB2312" w:hAnsi="仿宋_GB2312" w:eastAsia="仿宋_GB2312" w:cstheme="minorBidi"/>
      <w:kern w:val="2"/>
      <w:sz w:val="28"/>
      <w:szCs w:val="22"/>
    </w:rPr>
  </w:style>
  <w:style w:type="character" w:customStyle="1" w:styleId="37">
    <w:name w:val="批注主题 字符"/>
    <w:basedOn w:val="36"/>
    <w:link w:val="20"/>
    <w:semiHidden/>
    <w:qFormat/>
    <w:uiPriority w:val="99"/>
    <w:rPr>
      <w:rFonts w:ascii="仿宋_GB2312" w:hAnsi="仿宋_GB2312" w:eastAsia="仿宋_GB2312" w:cstheme="minorBidi"/>
      <w:b/>
      <w:bCs/>
      <w:kern w:val="2"/>
      <w:sz w:val="28"/>
      <w:szCs w:val="22"/>
    </w:rPr>
  </w:style>
  <w:style w:type="paragraph" w:customStyle="1" w:styleId="38">
    <w:name w:val="NormalIndent"/>
    <w:basedOn w:val="1"/>
    <w:qFormat/>
    <w:uiPriority w:val="99"/>
    <w:pPr>
      <w:ind w:firstLine="420" w:firstLineChars="200"/>
      <w:textAlignment w:val="baseline"/>
    </w:pPr>
    <w:rPr>
      <w:szCs w:val="21"/>
    </w:rPr>
  </w:style>
  <w:style w:type="character" w:customStyle="1" w:styleId="39">
    <w:name w:val="content1"/>
    <w:basedOn w:val="23"/>
    <w:qFormat/>
    <w:uiPriority w:val="0"/>
    <w:rPr>
      <w:rFonts w:hint="default"/>
      <w:sz w:val="21"/>
    </w:rPr>
  </w:style>
  <w:style w:type="paragraph" w:customStyle="1" w:styleId="40">
    <w:name w:val="Char2"/>
    <w:basedOn w:val="1"/>
    <w:qFormat/>
    <w:uiPriority w:val="0"/>
    <w:rPr>
      <w:rFonts w:ascii="Courier" w:hAnsi="Courier" w:cs="Courier"/>
      <w:szCs w:val="21"/>
    </w:rPr>
  </w:style>
  <w:style w:type="character" w:customStyle="1" w:styleId="41">
    <w:name w:val="NormalCharacter"/>
    <w:semiHidden/>
    <w:qFormat/>
    <w:uiPriority w:val="0"/>
  </w:style>
  <w:style w:type="paragraph" w:customStyle="1" w:styleId="42">
    <w:name w:val="Normal Indent1"/>
    <w:basedOn w:val="1"/>
    <w:qFormat/>
    <w:uiPriority w:val="99"/>
    <w:pPr>
      <w:ind w:firstLine="420"/>
    </w:pPr>
  </w:style>
  <w:style w:type="paragraph" w:customStyle="1" w:styleId="43">
    <w:name w:val="Body Text First Indent 2_1eab25d6-70a1-4c7f-9ed4-b71eff72bd9d"/>
    <w:basedOn w:val="1"/>
    <w:qFormat/>
    <w:uiPriority w:val="0"/>
    <w:pPr>
      <w:ind w:left="420" w:leftChars="200"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11966</Words>
  <Characters>13094</Characters>
  <Lines>132</Lines>
  <Paragraphs>37</Paragraphs>
  <TotalTime>14</TotalTime>
  <ScaleCrop>false</ScaleCrop>
  <LinksUpToDate>false</LinksUpToDate>
  <CharactersWithSpaces>13216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2021-02-04T23:55:00Z</dcterms:created>
  <dc:creator>张敏</dc:creator>
  <cp:lastModifiedBy>魏世公爵</cp:lastModifiedBy>
  <cp:lastPrinted>2021-04-25T06:46:00Z</cp:lastPrinted>
  <dcterms:modified xsi:type="dcterms:W3CDTF">2023-03-22T02:24:25Z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5A249B37B64B46B1A831924C1FB7579B</vt:lpwstr>
  </property>
</Properties>
</file>